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2025-41</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сервера (CPU) - серверного класса Xeon E5, Оперативная память не менее 64 Гб типа ECC RAM, Основная память - не менее 1 Тб NVME (сверхбыстрая), Архивная память в сервере 2 шт. SSD (жесткий диск) не менее 256 Гб, 2 шт. HDD (жесткий диск) не менее 20 Тб, ⁠Изучение существующей структуры сети, обеспечение высокой скорости обмена данными по результатам анализа, разработка плана модернизации и консалтинг осуществляются поставщиком, -Внедрение системы, обеспечение безопасности интрасети - осуществляется поставщиком. Гарантия на всю систему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