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Գոհար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gohar.simonyan@minfin.am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ՖՆ-ԷԱՃԱՊՁԲ-25/5</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кондиционеров</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gohar.simonyan@minfin.am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___10_________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Фирменное название, модель и производитель: GREE GWH12AFB-K6DNA1B/ Gree Electric Appliances կամ Midea MSAG1-12N8C2-I / MSAG1-12N8C2-O/ Midea Group
Инверторный сплит-кондиционер мощностью 12000 BTU, рассчитан на 35-40 квадратных метров. м. для охлаждения и обогрева помещений.
Тип газа: R32.
Цвет: белый.
Год выпуска: не менее 2022г.Участник процесса закупок на этапе осуществления контракта- гарантийное письмо или сертификат соответствия от производителя или его представителя.Товар должен быть новым, неиспользованным.Поставщик обязан осуществить транспортировку и разгрузку продукции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Мелик Адамяна 1,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25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