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LED Լուսատուների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LED Լուսատուների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LED Լուսատուների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LED Լուսատուների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VL-S020-200W
 Լուսային ջերմաստիճանը՝ 4000 K:
 Ջրադիմացկունությունը՝ IP 65,
 Լարում - փոփոխական հոսանք 85-265 Վ
 Հաճախականությունը 50/60 HZ
 680x180x73mm 
 Կորպուսը՝ ալյումինե:
 Երաշխիքային ժամկետը` առնվազը մեկ տարի:
 Փաթեթավորումը գործարանային, պիտակավորված:
 Մատակարարման ժամանակ յուրաքանչյուր լամպի համար տրվում  է երաշխիքային կտրոն: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