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ԴԴ-ԷԱՃԱՊՁԲ-25/20</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Դատական դեպարտամենտ</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15/1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A4 ֆորմատի թղթի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Արուս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010511783, 010511787, 010511774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ddgnumner@court.am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Դատական դեպարտամենտ</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ԴԴ-ԷԱՃԱՊՁԲ-25/20</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Դատական դեպարտամենտ</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Դատական դեպարտամենտ</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A4 ֆորմատի թղթի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Դատական դեպարտամենտ</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A4 ֆորմատի թղթի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ԴԴ-ԷԱՃԱՊՁԲ-25/20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ddgnumner@court.am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A4 ֆորմատի թղթի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382.58</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4.6044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446.2</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ԴԴ-ԷԱՃԱՊՁԲ-25/20</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Դատական դեպարտամենտ</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ԴԴ-ԷԱՃԱՊՁԲ-25/20</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ԴԴ-ԷԱՃԱՊՁԲ-25/20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ԴԴ-ԷԱՃԱՊՁԲ-25/20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«ԴԴ-ԷԱՃԱՊՁԲ-25/20»*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Դատական դեպարտամենտ</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ԴԴ-ԷԱՃԱՊՁԲ-25/20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«ԴԴ-ԷԱՃԱՊՁԲ-25/20»*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Դատական դեպարտամենտ</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ԴԴ-ԷԱՃԱՊՁԲ-25/20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«ԴԴ-ԷԱՃԱՊՁԲ-25/20»*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Դատական դեպարտամենտ*  (այսուհետ` Պատվիրատու) կողմից կազմակերպված` ԴԴ-ԷԱՃԱՊՁԲ-25/20*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ԴԴ-ԷԱՃԱՊՁԲ-25/20</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«ԴԴ-ԷԱՃԱՊՁԲ-25/20»*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Դատական դեպարտամենտ*  (այսուհետ` Պատվիրատու) կողմից կազմակերպված` ԴԴ-ԷԱՃԱՊՁԲ-25/20*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նախավերջին աշխատանքային օրը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է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ապահովումները Գնորդին ներկայացնում է համաձայնագիր կնքելու մասին ծանուցումը ստանալու օրվանից հաշված տասնհինգ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А4 ֆորմատի, չափսերը՝ 210x297մմ, չկավճած, մեխանիկական եղանակով ստացված, խտությունը՝ ոչ պակաս 80գ/մ2, սպիտակությունը` առնվազն՝ 165% (CIE համակարգով): Հաստությունը` 110 մկմ (+,- 3 մկմ), անթափանցելիությունը` ոչ պակաս 93%, տուփերով՝ յուրաքանչյուր տուփում 500 թերթ: ISO 14001 և ISO 9706 ստանդարտներին համապատասխան: Ապրանքը պետք է լինի չօգտագործված և գործարանային փաթեթավորմամբ: Ապրանքի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Յուրաքանչյուր մատակարարված խմբաքանակի համար Վաճառողը Գնորդին պետք է ներկայացնի ապրանքն արտադրողից կամ վերջինիս ներկայացուցչից երաշխիքային նամակ կամ համապատասխանության սերտիֆիկատ:
Յուրաքանչյուր տուփի և արկղի վրա պետք է լինի «Դատական դեպարտամենտի համար՝ վաճառքի ենթակա չէ» առանց փաթեթավորումը վնասելու չմաքրվող մակագրություն (թանաքով):
Ապրանքի գնման գործընթացի արդյունքում կնքվելիք պայմանագրի կատարումը փուլային է, և յուրաքանչյուր փուլի կատարումն ուղղակիորեն փոխկապակցված չէ պայմանագրով սահմանված պահանջներին համապատասխան ստացվելիք վերջնարդյունքի հետ: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Վազգեն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համաձայնագրով նախատեսված քանակի 50%-ը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60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Վազգեն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համաձայնագրով նախատեսված քանակի 50%-ը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120 օրացուցային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