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Судебный департамент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Корюн 15/1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бумаги формата А4</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Арус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ddgnumner@court.am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010511783, 010511787, 010511774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Судебный департамент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DD-EAAPDzB-25/20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Судебный департамент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бумаги формата А4</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бумаги формата А4</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Судебный департамент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DD-EAAPDzB-25/20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ddgnumner@court.am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бумаги формата А4</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4.6044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DD-EAAPDzB-25/20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DD-EAAPDzB-25/20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DD-EAAPDzB-25/20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DD-EAAPDzB-25/20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Судебный департамент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"DD-EAAPDzB-25/20"*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Судебный департамент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DD-EAAPDzB-25/20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"DD-EAAPDzB-25/20"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DD-EAAPDzB-25/20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"DD-EAAPDzB-25/20"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DD-EAAPDzB-25/20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предпоследнего рабочего дня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DD-EAAPDzB-25/20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размеры 210x297мм, немелованная, полученная механическим способом, плотность - не менее 80г/м2, белизна - не менее 165%  (по системе CIE). Толщина 110 мкм (+, - 3 мкм), непрозрачность - не менее 93%, в коробках, 500 листов в каждой коробке. В соответствии со стандартами ISO 14001 и ISO 9706. Товар должен быть неиспользованным и в заводской упаковке. Перевозку и разгрузку товара на склад Покупателя осуществляет Продавец за счет своих средств, заранее согласовав с Покупателем конкретный адрес поставки. Для поставленной каждой партии Продавец должен представить Покупателю гарантийное письмо или сертификат соответствия от производителя товара или его представителя. На каждой коробке и каждом  ящике должна быть нестирающаяся маркировка (чернилами) «Для Судебного департамента - продаже не подлежит», не повреждая упаковку. 
Исполнение договора, заключаемого в результате процедуры закупки  поэтапное, и исполнение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DD-EAAPDzB-25/20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Вазген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от количества, предусмотренного соглашением, заключенным между сторонами в случае предусмотрения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Вазген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от количества, предусмотренного соглашением, заключенным между сторонами в случае предусмотрения финансовых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со дня вступления в силу условия исполнения прав и обязанностей сторон, предусмотренных договором.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DD-EAAPDzB-25/20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DD-EAAPDzB-25/20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DD-EAAPDzB-25/20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