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ՀՀՇՄԳՀՀԿՀ-ԷԱՃԱՊՁԲ-67/25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աշխատակազմ ՀԿՀ կարիքների համար Ճանապարհային ռետինե արհեստական անհարթությունների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Ավդալյան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ani_avdalyan94@mail.ru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ՀՀՇՄԳՀՀԿՀ-ԷԱՃԱՊՁԲ-67/25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աշխատակազմ ՀԿՀ կարիքների համար Ճանապարհային ռետինե արհեստական անհարթությունների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աշխատակազմ ՀԿՀ կարիքների համար Ճանապարհային ռետինե արհեստական անհարթությունների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ՀՀՇՄԳՀՀԿՀ-ԷԱՃԱՊՁԲ-67/25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ani_avdalyan94@mail.ru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աշխատակազմ ՀԿՀ կարիքների համար Ճանապարհային ռետինե արհեստական անհարթությունների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ՀՀՇՄԳՀՀԿՀ-ԷԱՃԱՊՁԲ-67/25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ՀՀՇՄԳՀՀԿՀ-ԷԱՃԱՊՁԲ-67/25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«ՀՀՇՄԳՀՀԿՀ-ԷԱՃԱՊՁԲ-67/25»*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ՀՀՇՄԳՀՀԿՀ-ԷԱՃԱՊՁԲ-67/25*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«ՀՀՇՄԳՀՀԿՀ-ԷԱՃԱՊՁԲ-67/25»*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ՀՀՇՄԳՀՀԿՀ-ԷԱՃԱՊՁԲ-67/25*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արհեստական անհարթություն՝ նախատեսված 30կմ/ժ առավելագույն  թույլատրելի արագությամբ երթևեկող ճանապարհների համար: Ընդհանուր երկարությունը՝ 160 մ(20 հատ 8 մետրանոց)՝  ներառյալ եզրային տարրերը: Լուսաանդրադարձիչ ժապավեններ՝ ընհանուր մակերեսի 15% - ից ավել: Հիմնական տարրերի չափերը՝   երկարությունը 1 մ, լայնությունը՝ 50սմ, բարձրությունը՝  5սմ: Եզրային տարրերի քանակը՝ 40 հատ (20 զույգ) Լրակազմի մեջ պետք է մտնեն՝ հիմնական և եզրային տարրերը, ամրացման տարրերը, արտադրանքի անձնագիրը, մոնտաժման հրահանգը, լուսաանդրադարձիչ ժապավենը: Երաշխիքային ժամկեը՝ առնվազն 12 ամիս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