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ՀՀՇՄԳՀՀԿՀ-ԷԱՃԱՊՁԲ-67/25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OБЪЯВЛЕННЫЙ С ЦЕЛЬЮ ЗАКУПКИ РЕЗИНОВЫХ ИСКУССТВЕННЫХ НЕРОВНОСТЕЙ ДЛЯ Аппарат мэрии Гюмри' муниципальное административное учереждения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Ավդալյան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ani_avdalyan94@mail.ru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ՀՀՇՄԳՀՀԿՀ-ԷԱՃԱՊՁԲ-67/25</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OБЪЯВЛЕННЫЙ С ЦЕЛЬЮ ЗАКУПКИ РЕЗИНОВЫХ ИСКУССТВЕННЫХ НЕРОВНОСТЕЙ ДЛЯ Аппарат мэрии Гюмри' муниципальное административное учереждения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OБЪЯВЛЕННЫЙ С ЦЕЛЬЮ ЗАКУПКИ РЕЗИНОВЫХ ИСКУССТВЕННЫХ НЕРОВНОСТЕЙ ДЛЯ Аппарат мэрии Гюмри' муниципальное административное учереждения</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ՀՀՇՄԳՀՀԿՀ-ԷԱՃԱՊՁԲ-67/25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ani_avdalyan94@mail.ru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OБЪЯВЛЕННЫЙ С ЦЕЛЬЮ ЗАКУПКИ РЕЗИНОВЫХ ИСКУССТВЕННЫХ НЕРОВНОСТЕЙ ДЛЯ Аппарат мэрии Гюмри' муниципальное административное учереждения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ՀՀՇՄԳՀՀԿՀ-ԷԱՃԱՊՁԲ-67/25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"ՀՀՇՄԳՀՀԿՀ-ԷԱՃԱՊՁԲ-67/25"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ՀՀՇՄԳՀՀԿՀ-ԷԱՃԱՊՁԲ-67/25*.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"ՀՀՇՄԳՀՀԿՀ-ԷԱՃԱՊՁԲ-67/25"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ՀՀՇՄԳՀՀԿՀ-ԷԱՃԱՊՁԲ-67/25*.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ՀՀՇՄԳՀՀԿՀ-ԷԱՃԱՊՁԲ-67/25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неровность резины, предназначенная для дорог, движущихся с максимально допустимой скоростью 30 км / ч. Общая длина: 160 м (20 штук по 8 метров), включая элементы кромки. светоотражающие ленты: 15 мм общей площади поверхности% - размеры основных элементов: длина 1 м, ширина 50 см, высота 5 см. Количество фланцевых элементов: 40 шт. (20 пар) в комплект должны входить: основные и фланцевые элементы, крепежные элементы, паспорт изделия, инструкция по монтажу, светоотражающая лента. гарантийный срок: не менее 12 месяцев изделие должно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