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ՇՄՆԷՊԾ-ԷԱՃԱՊՁԲ-25/27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ԷԿՈՊԱՐԵԿԱՅԻՆ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 Արմենակյան 129</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Շրջակա միջավայրի նախարարության էկոպարեկային ծառայության կարիքների համար «դիզելային վառելիք, ամառային» ձեռքբերման նպատակով ՇՄՆԷՊԾ-ԷԱՃԱՊՁԲ-25/27  ծածկագրով էլեկտրոնային աճուրդի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Սուսաննա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010650154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s.ghazaryan@ecopatrolservice.am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ԷԿՈՊԱՐԵԿԱՅԻՆ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ՇՄՆԷՊԾ-ԷԱՃԱՊՁԲ-25/27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ԷԿՈՊԱՐԵԿԱՅԻՆ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ԷԿՈՊԱՐԵԿԱՅԻՆ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Շրջակա միջավայրի նախարարության էկոպարեկային ծառայության կարիքների համար «դիզելային վառելիք, ամառային» ձեռքբերման նպատակով ՇՄՆԷՊԾ-ԷԱՃԱՊՁԲ-25/27  ծածկագրով էլեկտրոնային աճուրդի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ԷԿՈՊԱՐԵԿԱՅԻՆ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Շրջակա միջավայրի նախարարության էկոպարեկային ծառայության կարիքների համար «դիզելային վառելիք, ամառային» ձեռքբերման նպատակով ՇՄՆԷՊԾ-ԷԱՃԱՊՁԲ-25/27  ծածկագրով էլեկտրոնային աճուրդի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ՇՄՆԷՊԾ-ԷԱՃԱՊՁԲ-25/27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s.ghazaryan@ecopatrolservice.am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Շրջակա միջավայրի նախարարության էկոպարեկային ծառայության կարիքների համար «դիզելային վառելիք, ամառային» ձեռքբերման նպատակով ՇՄՆԷՊԾ-ԷԱՃԱՊՁԲ-25/27  ծածկագրով էլեկտրոնային աճուրդի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ԷԿՈՊԱՐԵԿԱՅԻՆ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ՇՄՆԷՊԾ-ԷԱՃԱՊՁԲ-25/27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ՇՄՆԷՊԾ-ԷԱՃԱՊՁԲ-25/27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«ՇՄՆԷՊԾ-ԷԱՃԱՊՁԲ-25/27»*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ՇՄՆԷՊԾ-ԷԱՃԱՊՁԲ-25/27*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«ՇՄՆԷՊԾ-ԷԱՃԱՊՁԲ-25/27»*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ԷԿՈՊԱՐԵԿԱՅԻՆ ԾԱՌԱՅՈՒԹՅՈՒՆ*  (այսուհետ` Պատվիրատու) կողմից կազմակերպված` ՇՄՆԷՊԾ-ԷԱՃԱՊՁԲ-25/27*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ԷԿՈՊԱՐԵԿԱՅԻՆ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- 00476409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- 900011023265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Հիմնական տեխնիկական ցուցանիշները` Դիզելային վառելիք,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10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և պետք է սպասարկվեն Երևան քաղաքում և ՀՀ բոլոր մարզերում: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 Արմենակյան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պայմանագիրը ուժի մեջ մտնելուց հետո 21 օրվա ընթացքում, բայց ոչ ուշ քան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