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2025.09.30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ՍԲԿ-ԷԱՃԱՊՁԲ 25/33</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ՍԵՎԱՆԻ ԲԺՇԿԱԿԱՆ ԿԵՆՏՐՈՆ 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Գեղարքունիքի մարզ, ք. Սևան, Նաիրյան 169</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бензина для нужд ЗАО «Севан МК»</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Մարիամ Պողոսյան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mariam-poghosyan1992@mail.ru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+37494664454</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ՍԵՎԱՆԻ ԲԺՇԿԱԿԱՆ ԿԵՆՏՐՈՆ 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ՍԲԿ-ԷԱՃԱՊՁԲ 25/33</w:t>
      </w:r>
      <w:r>
        <w:rPr>
          <w:rFonts w:ascii="Calibri" w:hAnsi="Calibri" w:cstheme="minorHAnsi"/>
          <w:i/>
        </w:rPr>
        <w:br/>
      </w:r>
      <w:r>
        <w:rPr>
          <w:rFonts w:ascii="Calibri" w:hAnsi="Calibri" w:cstheme="minorHAnsi"/>
          <w:szCs w:val="20"/>
          <w:lang w:val="af-ZA"/>
        </w:rPr>
        <w:t>2025.09.30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ՍԵՎԱՆԻ ԲԺՇԿԱԿԱՆ ԿԵՆՏՐՈՆ 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ՍԵՎԱՆԻ ԲԺՇԿԱԿԱՆ ԿԵՆՏՐՈՆ 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бензина для нужд ЗАО «Севан МК»</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бензина для нужд ЗАО «Севан МК»</w:t>
      </w:r>
      <w:r>
        <w:rPr>
          <w:rFonts w:ascii="Calibri" w:hAnsi="Calibri" w:cstheme="minorHAnsi"/>
          <w:b/>
          <w:lang w:val="ru-RU"/>
        </w:rPr>
        <w:t xml:space="preserve">ДЛЯ НУЖД  </w:t>
      </w:r>
      <w:r>
        <w:rPr>
          <w:rFonts w:ascii="Calibri" w:hAnsi="Calibri" w:cstheme="minorHAnsi"/>
          <w:b/>
          <w:sz w:val="24"/>
          <w:szCs w:val="24"/>
          <w:lang w:val="af-ZA"/>
        </w:rPr>
        <w:t>ՍԵՎԱՆԻ ԲԺՇԿԱԿԱՆ ԿԵՆՏՐՈՆ 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ՍԲԿ-ԷԱՃԱՊՁԲ 25/33</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mariam-poghosyan1992@mail.ru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бензина для нужд ЗАО «Севан МК»</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420</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2025.10.21.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ՍԲԿ-ԷԱՃԱՊՁԲ 25/33</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ՍԵՎԱՆԻ ԲԺՇԿԱԿԱՆ ԿԵՆՏՐՈՆ ՓԲԸ</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"ՍԲԿ-ԷԱՃԱՊՁԲ 25/33"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ՍԵՎԱՆԻ ԲԺՇԿԱԿԱՆ ԿԵՆՏՐՈՆ ՓԲԸ*(далее — Заказчик) процедуре закупок под кодом ՍԲԿ-ԷԱՃԱՊՁԲ 25/33*.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ՍԵՎԱՆԻ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- 08620315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- 220203335173000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"ՍԲԿ-ԷԱՃԱՊՁԲ 25/33"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ՍԵՎԱՆԻ ԲԺՇԿԱԿԱՆ ԿԵՆՏՐՈՆ ՓԲԸ*(далее — Заказчик) процедуре закупок под кодом ՍԲԿ-ԷԱՃԱՊՁԲ 25/33*.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ՍԵՎԱՆԻ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- 08620315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- 220203335173000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ՍԲԿ-ԷԱՃԱՊՁԲ 25/33</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вид: чистый и прозрачный, октановое число, определенное исследовательским методом: не менее 91, моторным методом: не менее 81, давление насыщенных паров бензина: от 45 до 100 кПа, содержание свинца: не более 5 мг/дм3, объемная доля бензола: не более 1%, плотность: при температуре 15°С: от 720 до 775 кг/м3, содержание серы: не более 10 мг/кг, массовая доля кислорода: не более 2,7%, объемная доля окислителей: не более: метанола - 3%, этанола - 5%, изопропилового спирта - 10%, изобутилового спирта - 10%, трет-бутилового спирта - 7%, эфиров (С5 и выше) - 15%, других окислителей - 10%, безопасность, маркировка и упаковка в соответствии с «Техническим регламентом топлив для двигателей внутреннего сгорания», утвержденным постановлением правительства РА №. 1592-Н от 11 ноября 2004 г. Заправка транспортных средств по талонам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ноябрь, декабрь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