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010 590075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2025 թվականի կարիքների համար  համակարգչային և ֆայլային սերվերների  ձեռքբերման նպատակով ԲՏԱՆ-ԷԱՃԱՊՁԲ-2025/18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4.6883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ԲՏԱՆ-ԷԱՃԱՊՁԲ-2025/18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ԲՏԱՆ-ԷԱՃԱՊՁԲ-2025/18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«ԲՏԱՆ-ԷԱՃԱՊՁԲ-2025/18»*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«ԲՏԱՆ-ԷԱՃԱՊՁԲ-2025/18»*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ԲԱՐՁՐ ՏԵԽՆՈԼՈԳԻԱԿԱՆ ԱՐԴՅՈՒՆԱԲԵՐՈՒԹՅԱՆ ՆԱԽԱՐԱՐՈՒԹՅՈՒՆ*  (այսուհետ` Պատվիրատու) կողմից կազմակերպված` ԲՏԱՆ-ԷԱՃԱՊՁԲ-2025/18*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ԲԱՐՁՐ ՏԵԽՆՈԼՈԳԻԱԿԱՆ ԱՐԴՅՈՒՆԱԲԵՐՈՒԹՅԱՆ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- 02565518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Սերվեր Dell PowerEdge R650 կամ համարժեք 
(2x Intel® Xeon™ Silver-4510 (2.4 GHz – 4.1 GHz, 12 Core/24 Thread, 30 MB cache, 150 W); 4 x 64 GB (4 x 64 GB (256GB) DDR4, DDR5, RDIMM, նվազագույնը 3200 MT/s, ECC); PERC H755 (8 GB cache, 12 Gb/s, SAS/SATA, 0/1/5/6/10/50/60); SSD 2 x 480 GB (SSD Read Intensive, SATA 6 Gb/s, 2.5″, Hot-Plug); Ethernet Broadcom® 5720 Dual Port (2 x RJ-45, 1 Gb/s, 1000Base-T, integrated); Management iDRAC9 Enterprise (1 x RJ-45); Fully Redundant Hot-Plug PSU (1+1) 800W (Guaranty ProSupport with Next Business Day Onsite 3Y)
Սարքի վիճակը՝ Նոր (երբեք չօգտագործված), կոմպլեկտավորումը  բոլոր բաղկացուցիչ մասերով ու մալուխներով միմիանց միջև համադրելի:
Երաշխիք՝ ոչ պակաս քան 12 ամիս
Առնվազն 1 վենդորի կողմից լիազորված սերվիս կենտրոնի առկայություն
Վենդորի կողմից տրամադրված MAF-ի պարտադիր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Տվյալների ցանցային պահոց SYNOLOGY RS822RP+ կամ համարժեք 
AMD Ryzen V1500B; 2 x 4 GB (2 x 4 GB (8GB) DDR4, ECC, SODIMM, 2666 MHz); կրիչների խցիկների քանակը (HDD/SSD bay) 4 հատ; կրիչների տեսակը SSD; կրիչների քանակը 4 x 1TB (4 TB); միացումները Ethernet (1GbE RJ-45); USB 3.2 Gen1; eSATA; սնուցումը Fully Redundant PSU
Սարքի վիճակը՝ Նոր (երբեք չօգտագործված), կոմպլեկտավորումը  բոլոր բաղկացուցիչ մասերով ու մալուխներով միմիանց միջև համադրելի:
Երաշխիք՝ ոչ պակաս քան 12 ամիս
Առնվազն 1 վենդորի կողմից լիազորված սերվիս կենտրոնի առկայություն
Վենդորի կողմից տրամադրված MAF-ի պարտադիր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40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Պայմանագրով նախատեսված կողմերի իրավունքների և պարտականությունների կատարման պայմանն ուժի մեջ մտնելու օրվանից սկսած 40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