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7000-8000մմ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 Մետաղական հիմքով, բարձրացվող իջեցվող համակարգով, հակակշռով, ձողի հետնամասում ամրացվում է արկղ համապատասխան ծանրություն ապահովելու համար: Առկա է անիվներ տեղափոխման համար: Առկա է կեռիկներ: Սյունները՝ մետաղական, հաստությունը՝ 1.5-2մմ: Կարգավորվող ցանցի լարման բարձրությունը հատակից առավելագույնը 2550 մմ: Մեկ սյան քաշը հակակշռով առնվազն 75կգ: Հավաքածուն ներառում է 2 սյուն և վոլեյբոլի ցանց: Վոլեյբոլի ցանցը՝ շարժական: Պոլիամիդային ճոպան/պարան տրամագիծը՝ 6մմ անցնում է ցանցի վերևի և ներքևի երկայնքով, Չափսը՝ 1000մմ x 10000մմ: Գույնը՝ սև/սպիտակ: Բջիջի չափսերը՝ 100X100մմ: Թելի տրամագիծը՝ 2,6մմ: Նյութը՝ նեյլոն/պոլիպրոպիլեն: Կապիչներ՝ 4 անկյուններում: Վերևի երիզ՝ 70մմ: Ներքևի և կողային երիզ` 50մմ: Նմուշը /նկար 17,18/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Նմուշը /նկար 19/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20,21,22/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N5 գնդակի քաշը 450-500գր, N 6 գնդակի քաշը 560-650գր և N 7 գնդակի քաշը 650գր պետք է լինեն տարբեր  գույների: Նշված գնդակների տեսակների քանակները համաձայնեցնել պատվիրատուի հետ: Մարզումային և  մրցումային չափորոշիչներին  համապատասխան: Նմուշը /նկար 23/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24/ կցվում է: Վոլեյբոլի գնդակ – MIKASA ֆիրմայի V200W մոդել (արտադրողը՝  MIKASA Corporation) կամ համարժեքը համարվող MIKASA ֆիրմայի MVA200 մոդել (արտադրողը՝  MIKASA Corporation), Spalding ֆիրմայի NCAA մոդել (արտադրողը՝  Spalding Company):Պայմանագրի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N 5        գնդակը պետք է լինի կաշվին  փոխարինող  բարձրակարգ հումքից,  ռետինե  միջուկով,  քաշը՝  450-500գ: Նշված գնդակների տեսակների քանակները համաձայնեցնել պատվիրատուի հետ: Մրցումային  չափորոշիչներին  համապատասխան: Նմուշը /նկար 25/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