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ՀՀԿԳՄՍՆԷԱՃԱՊՁԲ-25/186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(28 դպրոց)</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ՀՀԿԳՄՍՆԷԱՃԱՊՁԲ-25/186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(28 դպրոց)</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(28 դպրոց)</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ՀՀԿԳՄՍՆԷԱՃԱՊՁԲ-25/186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(28 դպրոց)</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52945500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4.6944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444.45</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ՀՀԿԳՄՍՆԷԱՃԱՊՁԲ-25/186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ՀՀԿԳՄՍՆԷԱՃԱՊՁԲ-25/186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ՀՀԿԳՄՍՆԷԱՃԱՊՁԲ-25/186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ՀՀԿԳՄՍՆԷԱՃԱՊՁԲ-25/186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«ՀՀԿԳՄՍՆԷԱՃԱՊՁԲ-25/186»*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ՀՀԿԳՄՍՆԷԱՃԱՊՁԲ-25/186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«ՀՀԿԳՄՍՆԷԱՃԱՊՁԲ-25/186»*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ԿՐԹՈՒԹՅԱՆ ԳԻՏՈՒԹՅԱՆ ՄՇԱԿՈՒՅԹԻ ԵՎ ՍՊՈՐՏԻ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ՀՀԿԳՄՍՆԷԱՃԱՊՁԲ-25/186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ՀՀԿԳՄՍՆԷԱՃԱՊՁԲ-25/186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առնվազն անկյունագիծ 23,8" FHD (1920x1080) IPS anti-glare էկրան: Հզորությունը` ոչ ավել 100Վտ արտաքին սնուցման աղբյուր: Պրոցեսորը` առնվազն 13 սերունդ: Միջուկների քանակը` ոչ պակաս 4, հոսքերի քանակը՝ ոչ պակաս 6, տակտային հաճախականությունը` մինչև 4,4 Գհց ներառյալ, Քեշ հիշողությունը` առնվազն 8մբ: Տեսաքարտը` ներկառուցված, տեղադրված օպերատիվ հիշողության սարքը՝ ոչ պակաս 8 Gb, DDR4SSD 512 GB PCLNVMe: Ներկառուցված բարձրախոս, Rj45 Ethernet, combo microphone/headphone jack (3,5 mm): Կոմունիկացիա՝ առնվազն Wi-Fi 802.11ac and Bluetooth 5 combo: Վեբ տեսախցիկ՝ FHD webcam առնվազն 5mp with integrated digital microphone: Մուտքեր և միացումներ - 1 հատ HDMI-out, 1 հատ headphone/microphone combo, 1 հատ power connector, 1 հատ Rj-45, առնվազն 2 հատ USB 2.0 և 2 հատ USB 3.1, USB type-C: Հոսանքի լար, միցման լարը ներառված, ՀՀ ստանդարտներին համապատասխան: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Առաջարկվող մոդելը պետք է ունենա որևէ գրանցում՝ patent, copyright, Trademark։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ՀՀ-ում հավատարմագրված սերվիս կենտրոնում /դետալների փոխարինում/ կամ ապրանքը փոխարինել նորով: ՀՀ-ում հավատարմագրված սերվիս կենտրոն տեղափոխումն ու վերադարձը իրականացվում է Վաճառողի կողմից։ Մատակարարման օրը համաձայնեցնել Գնորդի հետ (հեռ.՝ 010599692):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Պետք է ներկայացնի նաև ՀՀ-ում հավատարմագրված առնվազն մեկ սերվիս կենտրոնի տվյալները: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