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ԱԱԾ-ՏԱևԿԿԳՎ-ԷԱՃԱՊՁԲ-25/1-ՑԵ</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ԵՐԹՈՒՂԱԳԾԻՉՆԵՐԻ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ԱԱԾ-ՏԱևԿԿԳՎ-ԷԱՃԱՊՁԲ-25/1-ՑԵ</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ԵՐԹՈՒՂԱԳԾԻՉՆԵՐԻ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ԵՐԹՈՒՂԱԳԾԻՉՆԵՐԻ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ԱԱԾ-ՏԱևԿԿԳՎ-ԷԱՃԱՊՁԲ-25/1-ՑԵ</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ԵՐԹՈՒՂԱԳԾԻՉՆԵՐԻ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ԱԱԾ-ՏԱևԿԿԳՎ-ԷԱՃԱՊՁԲ-25/1-ՑԵ</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ԱԱԾ-ՏԱևԿԿԳՎ-ԷԱՃԱՊՁԲ-25/1-ՑԵ</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ԱԱԾ-ՏԱևԿԿԳՎ-ԷԱՃԱՊՁԲ-25/1-ՑԵ»*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ԱԱԾ-ՏԱևԿԿԳՎ-ԷԱՃԱՊՁԲ-25/1-ՑԵ*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ԱԱԾ-ՏԱևԿԿԳՎ-ԷԱՃԱՊՁԲ-25/1-ՑԵ»*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ԱԱԾ-ՏԱևԿԿԳՎ-ԷԱՃԱՊՁԲ-25/1-ՑԵ*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__առնվազն 2 տարի 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_11_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Ինտեգրված անվտանգություն․
Ապահովված է սարքավորման մակարդակով Secure Boot և Secure Unique Device Identification (SUDI)՝ Plug and Play-ի համար, որպեսզի ստուգվի սարքավորման և ծրագրային ապահովման իսկությունը։
Ներառյալ փոխադրիչներ (transceivers),որոնք աշխատում են այս սարքի հետ
4 × 10Գբիտ/վ SFP+ (10GBASE-SR օպտիկա)
4 × 1Գբիտ/վ (10/100/1000Մբիտ RJ45)
4 × 1Գբիտ/վ SFP (օպտիկա)
SD-WAN արտադրողականություն․
IPsec թողունակություն (1400Bytes)՝ մինչև 19 Գբիտ/վ
IPsec թողունակություն (IMIX)՝ մինչև 10 Գբիտ/վ
SD-WAN Overlay Tunnels scale՝ 6000 կամ 8000
Number of ACLs per system - 4000
Number of IPv4 ACEs per system - 50K
Number of IPv4 Routes - 4M w/ default 16GB
Number of IPv6 Routes - 4M w/ default 16GB
Number of Queues - 16K
Number of NAT Sessions - 2M
Number of Firewall Sessions - 2M
Number of VRFs - 8000
Հիմնական ծրագրային ֆունկցիաներ․
Ipv4, Ipv6, static routes, Open Shortest Path First (OSPF),
Enhanced Interior Gateway Routing Protocol (EIGRP),
Border Gateway Protocol (BGP), Overlay Management Protocol (OMP),
Application Aware Routing (AAR), Traffic Engineering,
Service Insertion, zero-trust, whitelisting, tamper-proof module,
DTLS/TLS, Ipsec, classification, prioritization, low latency queuing,
remarking, shaping, scheduling, policing, mirroring, Multicast Ipv4 Support,
Service advertisement and insertion policy, SNMP, NTP, DNS client,
Dynamic Host Configuration Protocol (DHCP), DHCP client, DHCP server,
DHCP relay, config archival, syslog, SSH, SCP, Cflowd v10 IPFIX export,
Ipv6 for transport-side, VRRP, MPLS, NAT (DIA, Service-side, static,
overload/PAT, NAT64, etc), NAT pools, split DNS, Access Control Lists (ACL),
Bidirectional Forwarding Detection (BFD), Netconf over SSH, CLI, NTP server support,
BFD with service-side BGP, BGP community propagation to OMP, 6 SLA classes for AAR,
Trustsec/SDA (Inline SGT propagation), custom app with SD-AVC, multicast AAR,
dynamic on-demand tunnels, PIM-SM, OSPFv3, route policies, Multi-VRF support
Encapsulations: Generic Routing Encapsulation (GRE), Ethernet, 802.1q VLAN
Ծրագրային ապահովման լրացուցիչ հնարավորություններ․
Quality of Service (QoS), Forward Error Correction (FEC),
COS Marking, Weighted Random Early Detection (WRED), Hierarchical QoS,
Policy-Based Routing (PBR), Network-Based Application Recognition (NBAR),
Software Defined Application Visibility and Control (SD-AVC), per tunnel QoS,
Cloud nramp for SaaS, Enhanced Office 365 traffic steering, Direct Internet Access,
Flexible Netflow (FnF)
Կրիպտոգրաֆիկ ալգորիթմներ
Encryption: AES-256 (in CBC and GCM modes), Internet Key Exchange (IKE), Authentication: AAA, RSA (2048 bit), ESP-256-CBC, HMAC-SHA1, ECDSA (256/384 bit)
Integrity: SHA-1, SHA-2
  Անվտանգություն:
Built-in end-to-end Segmentation (VPNs), ZBFW, PKI,
DNS Layer Security,  ALG for ZBFW
Ծրագրային ապահովման բաժանորդագրություն
Հիմնական առանձնահատկություններ՝
 Advanced Routing and SD-WAN – Optimized traffic management and dynamic path selection
Security Enhancements – Integrated firewall, IPSec VPN, MACsec encryption
Network Automation and Analytics – AI-driven insights, telemetry, and real-time monitoring
Cloud Integration – Support for cloud-based security and application optimization
Quality of Service (QoS) and Traffic Control – Enhanced traffic prioritization for critical applications
High Availability and Redundancy – Seamless failover and improved uptime
 Մեխանիկական բնութագրեր․
Չափեր (Բ × Լ × Խ)․ 1.73" × 17.5" × 16.25"
Քաշ՝ մոտավորապես 7.7 կգ (2× AC սնուցման բլոկներով և օդափոխիչով)
Էներգամատակարարում՝ 400 Վտ սնուցման բլոկ։ Բարձր արդյունավետությամբ կրկնակի սնուցման բլոկներ (նախնական կարգավորմամբ)՝ էներգամատակարարման պահուստավորման (redundancy) ապահովման համար
Պորտեր՝ 8 × 1Գբիտ/վ SFP, 4 × 10Գբիտ/վ SFP+
DRAM՝ 16ԳԲ
SSD Storage: SSD M.2 NVMe 2TB
Form factor: Compact 1RU form factor
USB Storage: M.2 USB 16GB
Արտոնագիր․
Մշտական լիցենզիա, որը կաջակցի վերը նշված բոլոր հնարավորություններին։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