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ԱՄՄՀ-ԷԱՃԱՊՁԲ-25/135</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Intel(R) Core(TM) i5-12400, 2,5 ГГц, максимальная частота: до 4,4 ГГц, оперативная память: минимум 16 ГБ, тип системы: минимум x64, SSD: минимум 512 ГБ, DDR4 3200 МГц, жесткий диск: минимум 1 ТБ, блок питания: минимум 700 Вт, сертифицированный 80+, видеокарта: RTX 3060 или RTX 4060 или RTX 4060Ti или RTX 4070. Монитор: минимум 23,8 дюйма, технология IPS, входы: HDMI, VGA, разрешение: минимум 1920*1080, углы обзора: по горизонтали/вертикали – 170-190 градусов, время отклика 4 м/с, яркость: 250-270 кд/м². Клавиатура и мышь. Гарантия: минимум 24 месяца. Транспортировка и разгрузка товара осуществляется поставщиком за свой счёт и своими силами. Товар должен быть новым (неиспользованным). Адрес доставки: г. Масис, ул. Центральная, д.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Intel(R) Core(TM) i5-12400, тактовая частота не менее 2,5 ГГц, оперативная память: не менее 16 ГБ, тип системы: не менее x64, SSD: не менее 512 ГБ, HDD: не менее 1 ТБ, блок питания: не менее 650 Вт. Монитор: диагональ не менее 22 дюймов. Клавиатура и мышь. Гарантия: не менее 24 месяцев. Транспортировка и разгрузка товара осуществляется поставщиком за свой счёт и собственными средствами. Товар должен быть новым (неиспользованным). Адрес доставки: г. Масис, ул. Центральная, д. 4, 4-й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цвет печати: черно-белый, формат бумаги: A4, интерфейс: USB 2.0, скорость печати (листов/мин): не менее 18, скорость копирования (листов/мин): не менее 18, разрешение принтера: не менее 1200x600 dpi, разрешение сканера: не менее 600x1200 dpi, оперативная память: не менее 64 МБ, вес: не менее 8,5 кг, напряжение питания: 220—240 В, 50/60 Гц (±2 Гц). Габариты: 276 x 372 x 254 мм (отклонение: ±7%). Гарантия: не менее 12 месяцев. Транспортировка и разгрузка товара осуществляется поставщиком за свой счёт и своими средствами. Товар должен быть новым (неиспользованным). Адрес доставки: г. Масис, Центральный пр. д. 4,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ул. Центральная, д.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ул. Центральная, д.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ул. Центральная, д.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