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масляной краски для нужд ЗАО " Джрар " по процедуре электронного аукциона под кодом HHTKEN-J-EACAPDzB-25/37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HHTKEN-J-EACAPDzB-25/37</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масляной краски для нужд ЗАО " Джрар " по процедуре электронного аукциона под кодом HHTKEN-J-EACAPDzB-25/37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масляной краски для нужд ЗАО " Джрар " по процедуре электронного аукциона под кодом HHTKEN-J-EACAPDzB-25/37</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масляной краски для нужд ЗАО " Джрар " по процедуре электронного аукциона под кодом HHTKEN-J-EACAPDzB-25/37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Водостойкая масляная краска, предназначена для окраски бетонных поверхностей, подвергающихся атмосферным воздействиям. Цвет – белый, фасовка в тарах по 6 или 10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