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ինստիտուտ» հիմնադրամի կարիքների համար «Ըմբշամարտի գորգերի»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ֆեդերացիայի  կողմից հավաստագրված միջազգային նորմերին համապատասխան մրցումային և մարզումային ըմբշամարտի եռագույն գորգ (կապույտ,նարնջագույն և թունդ կապույտ), FOELDEAK, TAISHAN, O,JUMP կամ համարժեքը: 
Ծածկոցը բարձր որակի  ՊՎԽ (պոլիվինիլխլորիդ) 630-650գ/մ2 24մ50սմX12մ30սմ, երկու մրցումային շրջանագծերի տրամագիծը 9մ, տրամագիծը 1մ հաստությամբ և 1մ շրջանագծի տրամագիծը 10սմ հաստությամբ, ծածկոցի վրա պետք է գրված լինի արտադրողի FOELDEAK,TAISHAN կամ O,JUMP կամ համարժեքը անունը առնվազն երկու անգամ 240սմx30սմ  և ՀՖԿՍՊԻ  երկու անգամ 240սմx30սմ : 
Ծածկոցի նյութը իրար է ամրացվելու զոդման (ջերմակցման) եղանակով,եզրերը կպչուն ժապավենով,գրպանիկով կամ լյուվերսով իրարից առնվազը 30-40սմ հեռավորությունով: 
Ըմբշամարտի երկգույն ներքնակները ՊՊԵ պենոպոլիէթիլեն խտությունը 25-30կգ/մ3, երկարությունը 2մ, լայնությունը 1մ ,բարձրությունը 
5-6սմ,  144հատ կամ 288մ2: 
Ապրանքը պետք է լինի նոր և չօգտագործված:  
Ըմբշամարտի միջազգային ֆեդերացիայի կողմից լիցենզավորված /UWW certificate/ TaiShan, FOELDEAK, O,JUMP ֆիրմայի կամ համարժեքը։
Ապրանքի տեղափոխումը, բեռնաթափումը, տեղադրումը և/կամ հավաքումը իրականացվում է Մատակարարի կողմից իր միջոցների հաշվին։
Մատակարարումը պայմանագիրն ուժի մեջ մտնելուց հետո 20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ըթնացքում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