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SM-MH-EAJAPDB-25-11</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октановое число, определенное исследовательским методом: не менее 91. Моторным методом: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Топливо будет поставляться напрямую с АЗС, действующей в районе общины Мегри, в любое время суток, в любом количестве. Оплата производится ежемесячно.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Участник должен предоставить сертификат качества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 сжиженный газ, предназначенный для использования в качестве топлива. Альтернативное топливо пропан-бутан, предназначенное для автомобильных двигателей внутреннего сгорания. Основные компоненты: пропан, бутан и др., другие компоненты: изобутан, пропилен, этан, этилен и другие углеводороды. Стандарт – ГОСТ 20448-90. Автозаправочные станции должны располагаться в районе населённого пункта Мегри. Наличие свободной воды и щелочи исключено. Плотность запаха – не менее 3 единиц. Участник должен предоставить сертификат качества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55°С.
Коксуемость в 10% осадке не более 0,3%. Вязкость при 400°С от 2,0 до 4,5 мм2/с.
Температура помутнения не выше 5°С.
Топливо будет поставляться напрямую с АЗС, действующей в районе Мегри, в любое время суток и в любом количестве.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Участник должен представить сертификат качества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община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община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община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