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ՀՀ-ԱՄ-ԱՀ-ԷԱՃԱՊՁԲ-110/25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 համայնքի գյուղական բնակավայրերի հանդիսությունների սրահների կարիքների համար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ՀՀ-ԱՄ-ԱՀ-ԷԱՃԱՊՁԲ-110/25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 համայնքի գյուղական բնակավայրերի հանդիսությունների սրահների կարիքների համար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 համայնքի գյուղական բնակավայրերի հանդիսությունների սրահների կարիքների համար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ՀՀ-ԱՄ-ԱՀ-ԷԱՃԱՊՁԲ-110/25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 համայնքի գյուղական բնակավայրերի հանդիսությունների սրահների կարիքների համար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380</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439</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ՀՀ-ԱՄ-ԱՀ-ԷԱՃԱՊՁԲ-110/25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ՀՀ-ԱՄ-ԱՀ-ԷԱՃԱՊՁԲ-110/25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ՀՀ-ԱՄ-ԱՀ-ԷԱՃԱՊՁԲ-110/25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ՀՀ-ԱՄ-ԱՀ-ԷԱՃԱՊՁԲ-110/25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«ՀՀ-ԱՄ-ԱՀ-ԷԱՃԱՊՁԲ-110/25»*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Արագածոտնի մարզ Ապարանի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ՀՀ-ԱՄ-ԱՀ-ԷԱՃԱՊՁԲ-110/25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900455101353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«ՀՀ-ԱՄ-ԱՀ-ԷԱՃԱՊՁԲ-110/25»*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«ՀՀ-ԱՄ-ԱՀ-ԷԱՃԱՊՁԲ-110/25»*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ՀՀ-ԱՄ-ԱՀ-ԷԱՃԱՊՁԲ-110/25*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ՀՀ-ԱՄ-ԱՀ-ԷԱՃԱՊՁԲ-110/25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«ՀՀ-ԱՄ-ԱՀ-ԷԱՃԱՊՁԲ-110/25»*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ՀՀ-ԱՄ-ԱՀ-ԷԱՃԱՊՁԲ-110/25*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  Պատրաստված է քառանկյուն  մետաղական խողովակից 20x20մմ պատերի հաստությումը՝ 1.2- 1.5մմ , մետաղական բոլոր թեքություն ունեցող մասերը լինեն ճկված հատուկ սարքավորման միջոցով, պաստառապատված բարձրորակ սպունգով EL2036, հաստությունը 40 մմ և պաստառապատված բարձրորակ դեկորատիվ/վիլյուր/ կտորից, մեջքի և նստատեղի հիմքը պատրաստված լինի  10մմ հաստությամբ ֆաներայից, աթոռի ընդհանուր բարձրությունը՝ 820-850մմ, թիկնակի բարձրությունը՝ 430-450մմ, աթոռի նստատեղի չափսերն են՝ 400*400մմ, մեջքը նստատեղից ունենա 105-110 թեքության աստիճան: Մետաղական մասերը լինեն ներկված բարձր ջերմակայուն փոշեներկման  եղանակով: Գործվածքի և հիմքի միացումները նախագծվում են այնպես, որ չառաջանա խաղ կամ դեֆորմացիա՝ օգտագործելով պրեսային ամրացումներ և բարձրորակ խցկանքային համակարգեր, որոնք փակվում են ծայրամասերում՝ բացառելով շերտազատման կամ ճեղքման ռիսկերը: Գույնը համաձայնեցնել Պատվիրատուի հետ: Կից նկարում ներկայացվում է  աթոռների տեսքը՝ մասնակցին կողմնորոշելու համար: Նկարում և տեխնիկական բնութագրում առկա անհամապատասխանությունների դեպքում առաջնորդվել տեխնիկական բնութագրով: Ապարանքը՝ ներառյալ պատրաստման համար օգտագործվող նյութերը պետք է լինի նոր և չօգտագործված: Մատակարարումը և բեռնաթափումը պահեստ իրականացվում է Վաճառողի կողմից սեփական միջոցներով: Երաշխիքային ժամկետ է սահմանվում ապրանքը հանձման-ընդունման ակտի ստորագրման օրվանից հաշվաշ 365 օրացույցային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համաձայնագիրը ուժի մտնելու օրվանից հաշված  70-րդ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