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2025.10.21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Արագածոտնի մարզ Ապարանի համայնքապետարան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Арагацотнская область, город Апаран, улица Баграмяна 26</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стульев для нужд актовых залов сельских поселений общины Апаран</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Հայկ Հովսեփյան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haykhovsepyanhv@mail.ru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094231893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Արագածոտնի մարզ Ապարանի համայնքապետարան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ՀՀ-ԱՄ-ԱՀ-ԷԱՃԱՊՁԲ-110/25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2025.10.21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Արագածոտնի մարզ Ապարանի համայնքապետարան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Արագածոտնի մարզ Ապարանի համայնքապետարան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стульев для нужд актовых залов сельских поселений общины Апаран</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стульев для нужд актовых залов сельских поселений общины Апаран</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Արագածոտնի մարզ Ապարանի համայնքապետարան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ՀՀ-ԱՄ-ԱՀ-ԷԱՃԱՊՁԲ-110/25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haykhovsepyanhv@mail.ru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стульев для нужд актовых залов сельских поселений общины Апаран</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380</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2025.11.04.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ՀՀ-ԱՄ-ԱՀ-ԷԱՃԱՊՁԲ-110/25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Արագածոտնի մարզ Ապարանի համայնքապետարան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ՀՀ-ԱՄ-ԱՀ-ԷԱՃԱՊՁԲ-110/25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ՀՀ-ԱՄ-ԱՀ-ԷԱՃԱՊՁԲ-110/25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ՀՀ-ԱՄ-ԱՀ-ԷԱՃԱՊՁԲ-110/25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Արագածոտնի մարզ Ապարանի համայնքապետարան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"ՀՀ-ԱՄ-ԱՀ-ԷԱՃԱՊՁԲ-110/25"*</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"ՀՀ-ԱՄ-ԱՀ-ԷԱՃԱՊՁԲ-110/25"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Արագածոտնի մարզ Ապարանի համայնքապետարան*(далее — Заказчик) процедуре закупок под кодом ՀՀ-ԱՄ-ԱՀ-ԷԱՃԱՊՁԲ-110/25*.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ՀՀ-ԱՄ-ԱՀ-ԷԱՃԱՊՁԲ-110/25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"ՀՀ-ԱՄ-ԱՀ-ԷԱՃԱՊՁԲ-110/25"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Արագածոտնի մարզ Ապարանի համայնքապետարան*(далее — Заказчик) процедуре закупок под кодом ՀՀ-ԱՄ-ԱՀ-ԷԱՃԱՊՁԲ-110/25*.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ՀՀ-ԱՄ-ԱՀ-ԷԱՃԱՊՁԲ-110/25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ՀՀ-ԱՄ-ԱՀ-ԷԱՃԱՊՁԲ-110/25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Изготовлены из квадратной металлической трубы 20х20 мм, толщина стенки 1,2-1,5 мм, все металлические детали с изгибами должны быть гнуты на специальном оборудовании, обиты высококачественной губкой EL2036 толщиной 40 мм и обиты высококачественной декоративной/велюровой/тканью, основание спинки и сиденья должно быть изготовлено из фанеры толщиной 10 мм, общая высота стула 820-850 мм, высота спинки 430-450 мм, размеры сиденья стула 400*400 мм, спинка имеет наклон 105-110 градусов относительно сиденья. Металлические детали должны быть окрашены высокотермостойкой порошковой краской. Соединения ткани и основания выполнены без люфта и деформации, с использованием кнопок и высококачественных ячеичных систем, которые закрываются по краям, исключая риски расслоения и трещин. Цвет согласовывается с Заказчиком. Внешний вид стульев представлен на приложенном фото для ориентации участника. В случае расхождений между фото и техническими характеристиками, необходимо руководствоваться техническими характеристиками. Изделие, включая использованные материалы, должно быть новым и не бывшим в употреблении. Доставка и разгрузка на склад осуществляется Продавцом за свой счёт. Гарантийный срок составляет 365 календарных дней с даты подписания акта приёмки-передачи изделия.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ՀՀ-ԱՄ-ԱՀ-ԷԱՃԱՊՁԲ-110/25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70-й календарный день со дня вступления в силу соглашения, заключенного между сторонами.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ՀՀ-ԱՄ-ԱՀ-ԷԱՃԱՊՁԲ-110/25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ՀՀ-ԱՄ-ԱՀ-ԷԱՃԱՊՁԲ-110/25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ՀՀ-ԱՄ-ԱՀ-ԷԱՃԱՊՁԲ-110/25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