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360-Ա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планшета для нужд сотрудников муниципалитета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sisianfinbajin@mail.ru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ՍՄՍՀ-ԷԱՃԱՊՁԲ-25/20</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360-Ա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планшета для нужд сотрудников муниципалитета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планшета для нужд сотрудников муниципалитета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sisianfinbajin@mail.ru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планшета для нужд сотрудников муниципалитета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должно работать под управлением операционной системы iOS. Оно должно иметь процессор Apple A16 Bionic, не менее 6 ГБ оперативной памяти и не менее 128 ГБ встроенной памяти, без слота для карт памяти. Экран должен быть не менее 11 дюймов, оснащенный технологией Liquid Retina IPS LCD, с разрешением не менее 1640 x 2360 пикселей и яркостью 500 нит.
Разрешение фронтальной и основной камер должно быть не менее 12 мегапикселей. Поддержка GPS, Wi-Fi и Bluetooth. Зарядка осуществляется через магнитный разъем USB Type-C 2.0. Ёмкость аккумулятора должна быть не менее 28,93 Вт·ч.
Размеры: не менее 248,6 x 179,5 x 7 мм, вес до 477 граммов.
Предпочтительный цвет: синий или серебристый, в комплекте с устройством должен идти зарядный адаптер. Устройство должно быть новым, произведенным в 2024-2025 годах, полностью соответствовать заявленным характеристикам и иметь официальную гарантию сроком на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Сисиан Сисакан 31,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