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Ազգային Ժողով աշխատակազմ</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Մարշալ Բաղրամյան 19</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топлива (регуляр) для нужд Национального Собрания на 2026 год</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Ռուզաննա Հովհաննիսյան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gnumner@parliament.am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011513435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Ազգային Ժողով աշխատակազմ</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ԱԺ ԷԱՃԱՊՁԲ-26/3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Ազգային Ժողով աշխատակազմ</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Ազգային Ժողով աշխատակազմ</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топлива (регуляр) для нужд Национального Собрания на 2026 год</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топлива (регуляр) для нужд Национального Собрания на 2026 год</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Ազգային Ժողով աշխատակազմ</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ԱԺ ԷԱՃԱՊՁԲ-26/3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gnumner@parliament.am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топлива (регуляр) для нужд Национального Собрания на 2026 год</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4.7057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444.42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2025.11.04.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ԱԺ ԷԱՃԱՊՁԲ-26/3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Ազգային Ժողով աշխատակազմ</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ԱԺ ԷԱՃԱՊՁԲ-26/3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ԱԺ ԷԱՃԱՊՁԲ-26/3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ԱԺ ԷԱՃԱՊՁԲ-26/3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Ազգային Ժողով աշխատակազմ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ԱԺ ԷԱՃԱՊՁԲ-26/3"*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Ազգային Ժողով աշխատակազմ</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ԱԺ ԷԱՃԱՊՁԲ-26/3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ԱԺ ԷԱՃԱՊՁԲ-26/3"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Ազգային Ժողով աշխատակազմ*(далее — Заказчик) процедуре закупок под кодом ՀՀ ԱԺ ԷԱՃԱՊՁԲ-26/3*.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ԱԺ ԷԱՃԱՊՁԲ-26/3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ԱԺ ԷԱՃԱՊՁԲ-26/3"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Ազգային Ժողով աշխատակազմ*(далее — Заказчик) процедуре закупок под кодом ՀՀ ԱԺ ԷԱՃԱՊՁԲ-26/3*.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ԱԺ ԷԱՃԱՊՁԲ-26/3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ԱԺ 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методом-не менее 91, моторным методом- не менее 81, содержание свинца  не более 5мг/ дм3, объемная доля бензола не более 1 %, плотность при температуре 150 C- от 720 до 775 кг/м3, содержание серы- не более 10мг/кг, объемная доля кислорода- не более 2,7 %, объемная доля окислителей – не  более -метанол-3 %, этанол-5 %, изопропиловый спирт -10%, изобутиловый спирт -10%, трет-бутиловый спирт-7 %, эфиры (C5 и более)-15%, другие окислители-10%:
Поставка։ чековая․
Участник должен Обеспечить возможность заправки чековым вариантом  в г. Ереване и во всех регионах Армении.
Участник также должен предоставить сертификат соответствия товара (продукции).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ԱԺ 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устанавливаеться максимум 22-օго календарнօго дня с даты вступления в силу договора,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второй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третий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четвертый квартал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ԱԺ 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ԱԺ 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ԱԺ 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