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ՀՓ-ԷԱՃԱՊՁԲ-25/85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ՓԲԸ-ի կարիքների համար կանացի վերնաշապիկների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Դոնարա Մհերյան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095984303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ՀՓ-ԷԱՃԱՊՁԲ-25/85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ՓԲԸ-ի կարիքների համար կանացի վերնաշապիկների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ՓԲԸ-ի կարիքների համար կանացի վերնաշապիկների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ՀՓ-ԷԱՃԱՊՁԲ-25/85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ՓԲԸ-ի կարիքների համար կանացի վերնաշապիկների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կանացի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ՀՓ-ԷԱՃԱՊՁԲ-25/85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ՀՓ-ԷԱՃԱՊՁԲ-25/85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«ՀՓ-ԷԱՃԱՊՁԲ-25/85»*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ՀՓ-ԷԱՃԱՊՁԲ-25/85*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«ՀՓ-ԷԱՃԱՊՁԲ-25/85»*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ՀՓ-ԷԱՃԱՊՁԲ-25/85*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սպիտակ, դասական ձևի, կորպորատիվ ոճի, նախատեսված կորպորատիվ աշխատակիցների համար։ Արտադրության ընթացքում տրամադրվում են բոլոր ստանդարտ չափերը՝ XS – XXXL։ Չափերը ճշգրտվում են պատվիրատուի կողմից տրամադրված չափագրման աղյուսակով։ Օգտագործվող կտորը՝ T/C (TISI) 92% բամբակ, 8% սպանդեքս,
Բամբակի նվազագույն պարունակությունը՝ 50%,Կտորի խտություն՝ 150–180 գ/մ²,Կտորի նախնական մշակում՝ թելերի ամրացման և գունային կայունության ապահովման համար։Ոճը՝ դասական, ուղիղ կամ թեթև սեղմված ձևով։Թևքեր՝ կիսաերկար (միջին երկարություն), եզրագոտին՝ 4–5 սմ լայնությամբ, կենտրոնական հատվածում ճեղքով։Օձիք՝ ծալովի, պատրաստված սատինե գործվածքից՝ խտությունը 80–90 գ/մ²։ Եզրագիծը մշակված է զարդակարով։Առջևի հատված՝ բաղկացած է երկու լանջափեղերից։ Յուրաքանչյուր կողմ մշակված է մեկ կարճ և մեկ ուղղահայաց սեղմոնով։Լանջափեղքերի միացումը կատարվում է կոճակներով։ Կոճակների շարքը քողարկված է 2–3 սմ լայնությամբ դարձով։
Հետնամաս՝ մեկ կտորից։ Գոտկային հատվածի ձևավորումն ապահովված է երկու ուղղահայաց սեղմոններով։Կարերը՝ երկակի, ամրացված, յուրաքանչյուր կար մաքուր մշակված։
Լանջափեղքերի ծայրերը մշակվում են մաքրակարով, ծալքով և զարդակարով։Կոճակներ՝ սպիտակ գույնի, տրամագիծը՝ 1 սմ, քանակը՝ 7–8 հատ։
Կոճակները կարում են խաչաձև կարով՝ մեքենայական ամրացմամբ։Բոլոր կարերի ամրացումը կատարվում է ստանդարտ 301 կարի տեսակով։ Ձախ կրծքավանդակի հատվածում տեղադրվում է «Հայփոստ» լոգոտիպը։
Կիրառվող տեխնոլոգիան՝ ասեղնագործություն: Ասեղնագործման թելերը պետք է լինեն բարձրորակ պոլիեսթերային՝ գույնի կայունությամբ և մաշվածության դիմացկունությամբ։Յուրաքանչյուր պատրաստի արտադրանք փաթեթավորվում է առանձին թափանցիկ պոլիէթիլենային տոպրակով։
Տոպրակի վրա պարտադիր նշվում է՝ չափսը, նյութի կազմը, լվացման եղանակը, արտադրամասի անվանումը։ Պատվիրատուի կողմից նախնական հաստատման համար ներկայացվում է մեկ նմուշային արտադրանք։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Մեծի 1 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