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HNA-EAChAPDzB-25/61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Президента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пр. Маршала Баграмяна,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компьютерных аксессуаров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meri.grigoryan@president.am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+37410710095, +37410710096, +37410710097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Президента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HNA-EAChAPDzB-25/61</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Президента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Президента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компьютерных аксессуаров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компьютерных аксессуаров</w:t>
      </w:r>
      <w:r>
        <w:rPr>
          <w:rFonts w:ascii="Calibri" w:hAnsi="Calibri" w:cstheme="minorHAnsi"/>
          <w:b/>
          <w:lang w:val="ru-RU"/>
        </w:rPr>
        <w:t xml:space="preserve">ДЛЯ НУЖД  </w:t>
      </w:r>
      <w:r>
        <w:rPr>
          <w:rFonts w:ascii="Calibri" w:hAnsi="Calibri" w:cstheme="minorHAnsi"/>
          <w:b/>
          <w:sz w:val="24"/>
          <w:szCs w:val="24"/>
          <w:lang w:val="af-ZA"/>
        </w:rPr>
        <w:t>Аппарат Президента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HNA-EAChAPDzB-25/61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meri.grigoryan@president.am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компьютерных аксессуаров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хранилище сервера.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HNA-EAChAPDzB-25/61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HNA-EAChAPDzB-25/61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хранилище сервера.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хранилище сервера Характеристики производительности
Разработано для модульных серверов HPE MSA серий 1040/2040/2050/2000 SAN и серверов HPE ProLiant поколения G8–G10.
Центральный компонент: 2,5-дюймовый диск формата SFF (Small Form Factor) с держателем Smart Drive Carrier (SC) и функцией горячей замены.
Емкость: не менее 2,4 ТБ.
Скорость вращения: не менее 10 000 об/мин.
SAS 12 Гбит/с, поддерживается версия с двумя портами (простое подключение и резервирование).
Общая скорость передачи данных: не менее 12 Гбит/с.
Количество байт на сектор. Расширенный формат 512e (эмуляция 512B),
Серверный жесткий диск (корпоративного уровня) с прошивкой с цифровой подписью (DS) обеспечивает высокую безопасность и надежность.
Стандартная поддержка функций горячей замены со стандартным креплением Smart Carrier.
Гарантия не менее 1 года (через лоток) и эмулированный формат 512e с прошивкой с цифровой подписью обеспечивают безопасность использования и целостность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КомпьютерныйГромкоговоритель, мощность: не менее 10 Вт, тип подключения: USB, диапазон частот: 135–20 кГц, наличие кнопок управления: регулятор громкости с кнопкой включения и выключения, светодиоды – индикаторы включения и выключения питания.
Питание: адаптер питания.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со дня вступления в силу условий исполнения прав и обязанностей сторон, предусмотренных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со дня вступления в силу условий исполнения прав и обязанностей сторон, предусмотренных  договор.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хранилище сервера.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