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ՎՁՄ-ԷԱՃԱՊՁԲ-33/25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Վայոց ձորի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Ք.Եղեգնաձոր Շահումյան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Վայոց ձորի մարզպետի աշխատակազմի կարիքների համար "Ռեգուլյար" բենզինի ձեռ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Սաֆարյան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028123301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safaryan74@bk.ru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Վայոց ձորի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ՎՁՄ-ԷԱՃԱՊՁԲ-33/25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Վայոց ձորի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Վայոց ձորի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Վայոց ձորի մարզպետի աշխատակազմի կարիքների համար "Ռեգուլյար" բենզինի ձեռ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Վայոց ձորի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Վայոց ձորի մարզպետի աշխատակազմի կարիքների համար "Ռեգուլյար" բենզինի ձեռ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ՎՁՄ-ԷԱՃԱՊՁԲ-33/25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safaryan74@bk.ru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Վայոց ձորի մարզպետի աշխատակազմի կարիքների համար "Ռեգուլյար" բենզինի ձեռ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Վայոց ձորի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ՎՁՄ-ԷԱՃԱՊՁԲ-33/25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ՎՁՄ-ԷԱՃԱՊՁԲ-33/25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«ՎՁՄ-ԷԱՃԱՊՁԲ-33/25»*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Վայոց ձորի մարզպետի աշխատակազմ*  (այսուհետ` Պատվիրատու) կողմից կազմակերպված` ՎՁՄ-ԷԱՃԱՊՁԲ-33/25*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Վայոց ձորի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- 08918507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- 900351051025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«ՎՁՄ-ԷԱՃԱՊՁԲ-33/25»*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Վայոց ձորի մարզպետի աշխատակազմ*  (այսուհետ` Պատվիրատու) կողմից կազմակերպված` ՎՁՄ-ԷԱՃԱՊՁԲ-33/25*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Վայոց ձորի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- 08918507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- 900351051025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45-100 կՊա, կապարի պարունակությունը 5 մգ/դմ3-ից ոչ ավելի, բենզոլի ծավալային մասը 1% -ից ոչ ավելի, խտությունը` 15 °C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ՀՀ կառավարության 2004թ. նոյեմբերի 11-ի N 1592-Ն որոշմամբ հաստատված “Ներքին այրման շարժիչային վառելիքների տեխնիկական կանոնակարգի”
Կտրոնային, Կտրոնները ինչպես նաև գնման գործընթացին վերաբերող բոլոր փաստաթղթերը ընկերության կողմից սեփական միջոցներով տեղափոխել ՀՀ Վայոց ձորի մարզպետարան, ըստ գնման ժամանակացույցի: Պարտադիր պայման` Լցակայան/ների/ առկայություն ք.Եղեգնաձորում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ք.Եղեգնաձոր,Շահումյան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