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ՎՁՄ-ԷԱՃԱՊՁԲ-33/25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Վայոց ձորի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Ք.Եղեգնաձոր Շահումյան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марки «Регуляр» для нужд аппарата Губернатора Республики Вайоц Дзор-2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Սաֆարյան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safaryan74@bk.ru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028123301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Վայոց ձորի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ՎՁՄ-ԷԱՃԱՊՁԲ-33/25</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Վայոց ձորի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Վայոց ձորի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марки «Регуляр» для нужд аппарата Губернатора Республики Вайоц Дзор-2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марки «Регуляр» для нужд аппарата Губернатора Республики Вайоц Дзор-2</w:t>
      </w:r>
      <w:r>
        <w:rPr>
          <w:rFonts w:ascii="Calibri" w:hAnsi="Calibri" w:cstheme="minorHAnsi"/>
          <w:b/>
          <w:lang w:val="ru-RU"/>
        </w:rPr>
        <w:t xml:space="preserve">ДЛЯ НУЖД  </w:t>
      </w:r>
      <w:r>
        <w:rPr>
          <w:rFonts w:ascii="Calibri" w:hAnsi="Calibri" w:cstheme="minorHAnsi"/>
          <w:b/>
          <w:sz w:val="24"/>
          <w:szCs w:val="24"/>
          <w:lang w:val="af-ZA"/>
        </w:rPr>
        <w:t>ՀՀ Վայոց ձորի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ՎՁՄ-ԷԱՃԱՊՁԲ-33/25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safaryan74@bk.ru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марки «Регуляр» для нужд аппарата Губернатора Республики Вайоц Дзор-2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ՎՁՄ-ԷԱՃԱՊՁԲ-33/25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Վայոց ձորի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"ՎՁՄ-ԷԱՃԱՊՁԲ-33/25"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ՎՁՄ-ԷԱՃԱՊՁԲ-33/25*.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"ՎՁՄ-ԷԱՃԱՊՁԲ-33/25"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ՎՁՄ-ԷԱՃԱՊՁԲ-33/25*.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ՎՁՄ-ԷԱՃԱՊՁԲ-33/25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не менее 91, по моторному методу: не менее 81, давление насыщенных паров бензина: 45–100 кПа, содержание свинца: не более 5 мг/дм³, объёмная доля бензола: не более 1%, плотность: при температуре 15 °C: 720–775 кг/м³, содержание серы: не более 10 мг/кг, массовая доля кислорода: не более 2,7%, объёмная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требования безопасности: в соответствии с требованиями Правительства Республики Армения.
«Технический регламент на топлива для двигателей внутреннего сгорания», утверждённый Постановлением № 1592-Н от 11 ноября 11, 2004
Топоны, а также все документы, связанные с процессом закупки, компания должна передать за свой счет в администрацию Вайоцдзорского региона Республики Армения согласно графику закупки. Обязательное условие: наличие АЗС в Ехегнадзоре.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