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ՊԵԿ-ԷԱՃԱՊՁԲ-2025/9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ФОТОГРАФИЧЕСКОЕ УСТРОЙСТВО И КОМПЬЮТЕР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Սպարտակ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spartak_harutyunyan@taxservice.am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ՊԵԿ-ԷԱՃԱՊՁԲ-2025/9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ФОТОГРАФИЧЕСКОЕ УСТРОЙСТВО И КОМПЬЮТЕР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ФОТОГРАФИЧЕСКОЕ УСТРОЙСТВО И КОМПЬЮТЕР</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ՊԵԿ-ԷԱՃԱՊՁԲ-2025/9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spartak_harutyunyan@taxservice.am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ФОТОГРАФИЧЕСКОЕ УСТРОЙСТВО И КОМПЬЮТЕР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(с аксессуарами)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ՊԵԿ-ԷԱՃԱՊՁԲ-2025/9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ՊԵԿ-ԷԱՃԱՊՁԲ-2025/9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следующих производителей и моделей — 1 шт.
• Canon EOS R6 Mark II
• Комплект: объектив RF 24-70 мм F/2.8 L IS USM (1 шт.), 
               объектив RF 70-200 мм F/2.8 L IS USM (1 шт.)
• Sony A7 IV
• Комплект: объектив Sony FE 24-70 мм F/2.8 GM II (1 шт.),
• спортивный объектив Sigma 70-200 мм F/2.8 DG DN OS (Sony E) (1 шт.)
• Nikon Z6 II
• Комплект: объектив Nikkor Z 24-70 мм F/2.8 S II (1 шт.),
• объектив Nikkor Z 70-200 мм F/2.8 VR S с комплектом УФ-фильтров
Совместимость с камерой: карта памяти объёмом 160 ГБ — 2 шт.
• Тип: CFexpress Type A TOUGH или CFexpress Type B
• Ёмкость: 160 ГБ
• Поддержка: PCI-Express 3.0
• Максимальная скорость чтения/записи: 800/700 МБ/с
• Минимальная скорость записи: 400 МБ/с
• Рабочая температура: от -10 °C до 70 °C
• Устойчивость: к ударам, ультрафиолетовому и рентгеновскому излучению
Добавочная комплектация: аккумулятор (AA/HR6 Ni-MH, 2700 мА·ч) - 8 шт.
Тип: Ni-MH (никель-металлгидридный)
Размер: AA/HR6 (стандартный)
Напряжение: 1,2 В
Ёмкость: не менее 2700 мА·ч, перезаряжаемый
Количество циклов двойной зарядки: не менее 1000
Применение: цифровые фотоаппараты, вспышки и другие мощные устройства
В комплекте: зарядное устройство - 1 шт.
Тип: Зарядное устройство для Ni-MH/Ni-Cd аккумуляторов типоразмера AA и AAA
Количество заряжаемых аккумуляторов: не менее 4 одновременно
Совместимость: Ni-MH и Ni-Cd аккумуляторы типоразмеров AA (HR6), AAA (HR03)
Входное напряжение: 100–240 В переменного тока, 50/60 Гц
Выходное напряжение: 1,4 В постоянного тока (на канал)
Управление зарядкой: автоматическое отключение при перезаряде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процессор (ЦП): Не менее 16 ядер, базовая частота ≥ 3 ГГц, Intel Core i9 / Xeon или AMD Ryzen 9 / Threadripper, или аналогичный.
Материнская плата: Совместимый процессорный сокет (Intel LGA1700, AMD AM5 или sWRX8), поддержка DDR5, Wi-Fi, Bluetooth, не менее 4 слотов для оперативной памяти, поддержка PCIe 4.0.
Оперативная память: ≥ 32 ГБ DDR5, ≥ 5600 МГц, 2×16 ГБ или аналогичная.
Накопитель: ≥ 1 ТБ NVMe M.2 SSD (основной диск):
Видеокарта: ≥ 20 ГБ памяти, PCIe 4.0, HDMI 2.1a, DisplayPort 1.4a, NVIDIA RTX 4090 или аналогичная.
Система охлаждения: совместима с процессорным модулем, TDP ≥ 270 Вт, малошумная.
Блок питания: модульный, ≥ 1000 Вт, сертифицирован 80 PLUS Gold.
Корпус: поддержка ATX, эффективная вентиляция, не менее 2 предустановленных вентиляторов.
Аксессуары:
• Беспроводная мышь: USB-C или 2,4 ГГц, DPI ≥ 4000, время непрерывной работы ≥ 8 часов.
• Проводная мышь: USB 2.0+, оптическая/лазерная, DPI ≥ 1200.
• Беспроводная клавиатура: USB-C или Bluetooth 5.0, полноразмерная или TKL/75%, мембранная/механическая, время работы ≥ 120 часов, совместима с Windows/macOS/Android/iOS.
• Проводная клавиатура: USB 2.0+, кабель ≥ 1 м, защита от пыли и влаги.
Комплектация процессора: внешний жесткий диск объемом 4 ТБ — 1 шт.
Тип: 3,5-дюймовый или 2,5-дюймовый SATA / USB 3.2 Gen1 или Gen2
Источник питания: питание от USB или внешний источник питания
Переменная скорость: 5400–7200 об/мин (для 3,5-дюймового)
Скорость передачи данных: не менее 100 МБ/с (USB 3.x)
Поддержка: Plug and Play, совместимость с Windows/Mac/Linux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- 2 шт.
Диагональ: ≥27 дюймов
Технология: IPS или Nano IPS
Разрешение: ≥3840×2160 (4K UHD)
Поддержка HDR: HDR10 или Dolby Vision
Угол обзора: ≥178°
Время отклика: ≤5 мс
Входные интерфейсы: HDMI 2.0 или выше, DisplayPort 1.4 или выше
Цвет корпуса: черный, белый, серебристый или эквивалентный․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Хоренаци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для этой цели и заключении на ее основе соответствующего договора между сторонами в течение 25 календарных дней со дня, следующего за днем регистрации Министерством финансов Республики Армения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Хоренаци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для этой цели и заключении на ее основе соответствующего договора между сторонами в течение 25 календарных дней со дня, следующего за днем регистрации Министерством финансов Республики Армения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Хоренаци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для этой цели и заключении на ее основе соответствующего договора между сторонами в течение 25 календарных дней со дня, следующего за днем регистрации Министерством финансов Республики Армения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