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внешний вид чистый и прозрачный, октановое число, определенное по методу исследования, не менее 91, по моторному методу, не менее 81, Давление насыщенных паров бензина от 45 до 100 кПа, Содержание свинца не более 5 мг/дм3, Объем бензола не более 1%, плотность при 15 ° С, от 720 до 775 кг / м 3, Массовая доля серы не более 10 мг/кг , массовая доля кислорода - не более 2,7%․ Mаркировка и упаковка в соответствии с Постановлением Правительства РА 2004 года. «Технический регламент на топливо для двигателей внутреннего сгорания», утвержденный Решением № 1592-N от 11 ноября 2009 г. Поставка купонами.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«Технический регламент о двигателях внутреннего сгорания», утвержденный Решением № 1592-N от 11 ноября 2007 г. Поставка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соглашения между сторонами, если предусмотрены финансовые средства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соглашения между сторонами, если предусмотрены финансовые средства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