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ՄԱՏ-ԷԱՃԱՊՁԲ-74/25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Պրեմիում տեսակի բենզինի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ՄԱՏ-ԷԱՃԱՊՁԲ-74/25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Պրեմիում տեսակի բենզինի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Պրեմիում տեսակի բենզինի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ՄԱՏ-ԷԱՃԱՊՁԲ-74/25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Պրեմիում տեսակի բենզինի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ՄԱՏ-ԷԱՃԱՊՁԲ-74/25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ՄԱՏ-ԷԱՃԱՊՁԲ-74/25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«ՄԱՏ-ԷԱՃԱՊՁԲ-74/25»*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ՄԱՏ-ԷԱՃԱՊՁԲ-74/25*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«ՄԱՏ-ԷԱՃԱՊՁԲ-74/25»*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ՄԱՏ-ԷԱՃԱՊՁԲ-74/25*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2. Տնտեսող և արդյունավետ գնում իրականացնելու նպատակով՝ Լցակայանը պետք է գտնվի Գնորդի գործունեության հասցեից (ք.Երևան, Մ.Մաշտոցի 53) ոչ ավելի քան 5 կիլոմետր հեռավորության վրա. Մատակարարումը՝ Կտրոնային։ Ապրանքի մատակարարման ժամանակ պարտադիր է որակի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դեկտեմբերի 28-ը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