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ԵԱ-ԷԱՃԱՊՁԲ-25/70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автобус»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Тевосян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автобус»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ԵԱ-ԷԱՃԱՊՁԲ-25/70</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автобус»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автобус»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ЗАО «Ереванский автобус»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ԵԱ-ԷԱՃԱՊՁԲ-25/70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ԵԱ-ԷԱՃԱՊՁԲ-25/70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ԵԱ-ԷԱՃԱՊՁԲ-25/70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детали масляного фильтра LE0110669A. Размер резьбы, например, M20×1,5 или 3/4″ 16UNF, — одна из немногих характеристик, встречающихся в других описаниях фильтров. Общая высота (мм). Наружный диаметр (OD) в мм. Входной диаметр и наружный диаметр уплотнительного кольца для запорного/уплотнительного элемента. Давление открытия перепускного клапана (бар) — эти данные часто указываются для высококачественных фильтров. Материал, из которого изготовлен фильтрующий элемент (бумага, синтетика, ткань). Совместимые автомобили или номер OEM.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 код детали VG1540080211. OEM-номера / номера для замены / соответствия:
• VG1540080211 (отдельно)
• G5800 1105240C
• CX1017
• D00 305 02+A
Размеры (стандартные):
• Наружный диаметр: около 108 мм
• Высота: например, на страницах указана 240 мм (согласно одному источнику)
• Размер резьбы: 1″ 14 (1 дюйм 14 UNF) согласно одному источнику
Функция фильтра: удаление загрязнений (например, частиц железа, влаги) и защита деталей двигателя. Материалы и конструкция: Утверждается, что для улучшения фильтрации использовались железная оболочка и внутренний фильтрующий материал (фильтровальная бумага + синтетический или стекловолоконный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 код детали G5800 1105140 614
В списке распространённых совместимых номеров обнаружено, что они относятся к одной серии: G5800 1105140C, VG1540080110.
Размеры: например:
• Наружный диаметр (OD) ок. 108 мм
• Высота (Height) ок. 207 мм
• Размер резьбы: 1″ 14 UNF (1 дюйм 14).
Название/функция: Топливный фильтр для дизельных двигателей, предназначенный для удаления влаги, осадка и мелких частиц из топлива, а также для обеспечения безопасной работы топливной системы двигателя.
Совместимые двигатели/модели: например: двигатели Yuchai (YUCHAI), двигатели тяжёлых грузовиков.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за исключением случаев, когда поставщик товара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фильтр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