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ՔԿԾ-ԷԱՃԱՊՁԲ-26/3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բենզին և դիզելային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ՔԿԾ-ԷԱՃԱՊՁԲ-26/3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բենզին և դիզելային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բենզին և դիզելային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ՔԿԾ-ԷԱՃԱՊՁԲ-26/3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բենզին և դիզելային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ՔԿԾ-ԷԱՃԱՊՁԲ-26/3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ՔԿԾ-ԷԱՃԱՊՁԲ-26/3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ՔԿԾ-ԷԱՃԱՊՁԲ-26/3»*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արդարադատության նախարարության քրեակատարողական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ՔԿԾ-ԷԱՃԱՊՁԲ-26/3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ՔԿԾ-ԷԱՃԱՊՁԲ-26/3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100կՊա, կապարի պարունակությունը 5մգ/դմ3-ից ոչ ավելի, բենզոլի ծավալային մասը 1%-ից ոչ ավելի, խտությունը` 150C ջերմաստիճանում` 720-ից մինչև 775 կգ/մ3, ծծմբի պարունակությունը` 10մգ/կգ-ից ոչ ավելի, թթվածնի զանգվածային մասը` 2,7%-ից ոչ ավելի, օքսիդիչների ծավալային մասը ոչ ավելի` մեթանոլ-3%, էթանոլ-5%, իզոպրոպիլ սպիրտ-10%, իզոբուտիլ սպիրտ-10%, եռաբուտիլ սպիրտ-7%, եթերներ /C5 և ավելի/-15%, այլ օքսիդիչներ-10%,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Երևան քաղաքի յուրաքանչյուր վարչական շրջանում առնվազն մեկ լիցքավորման կետի առկայություն, իսկ յուրաքանչյուր մարզկենտրոնում՝ առնվազն մեկ լիցքավորման 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820-ից մինչև 845կգ/մ3, ծծմբի պարունակությունը 10մգ/կգ-ից ոչ ավելի, բռնկման ջերմաստիճանը  550C ոչ ցածր, ածխածնի մնացորդը 10% նստվածքում 0,3%-ից ոչ ավելի, մածուցիկությունը  400C-ում  2,0-ից մինչև  4,5մմ2/վ, պղտորման ջերմաստիճանը`  50C-ից ոչ բարձր,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Երևան քաղաքի յուրաքանչյուր վարչական շրջանում և Վանաձոր, Արթիկ, Սևան, Վաղարշապատ, Գորիս քաղաքներում առնվազն մեկ լիցքավորման կետի առկայություն։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180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