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eastAsia="Times New Roman" w:hAnsi="GHEA Grapalat" w:cs="Times Armenian"/>
          <w:b/>
          <w:sz w:val="24"/>
          <w:szCs w:val="24"/>
          <w:lang w:val="pt-BR" w:eastAsia="ru-RU"/>
        </w:rPr>
      </w:pPr>
      <w:bookmarkStart w:id="0" w:name="_GoBack"/>
      <w:bookmarkEnd w:id="0"/>
    </w:p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eastAsia="Times New Roman" w:hAnsi="GHEA Grapalat" w:cs="Times Armenian"/>
          <w:b/>
          <w:sz w:val="24"/>
          <w:szCs w:val="24"/>
          <w:lang w:val="pt-BR" w:eastAsia="ru-RU"/>
        </w:rPr>
      </w:pPr>
      <w:r w:rsidRPr="00212B2B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ՀՀ ԴԱՏԱԽԱԶՈՒԹՅԱՆ </w:t>
      </w:r>
      <w:r w:rsidRPr="00212B2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ԿԱՐԻՔՆԵՐԻ</w:t>
      </w:r>
      <w:r w:rsidRPr="00212B2B">
        <w:rPr>
          <w:rFonts w:ascii="GHEA Grapalat" w:eastAsia="Times New Roman" w:hAnsi="GHEA Grapalat" w:cs="Times Armenian"/>
          <w:b/>
          <w:sz w:val="24"/>
          <w:szCs w:val="24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ՀԱՄԱՐ</w:t>
      </w:r>
      <w:r w:rsidRPr="00212B2B">
        <w:rPr>
          <w:rFonts w:ascii="GHEA Grapalat" w:eastAsia="Times New Roman" w:hAnsi="GHEA Grapalat" w:cs="Times Armenian"/>
          <w:b/>
          <w:sz w:val="24"/>
          <w:szCs w:val="24"/>
          <w:lang w:val="af-ZA" w:eastAsia="ru-RU"/>
        </w:rPr>
        <w:t xml:space="preserve">` </w:t>
      </w:r>
      <w:r w:rsidRPr="00212B2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ՀԱՄԱԿԱՐԳԻՉՆԵՐԻ ՁԵՌՔԲԵՐՄԱՆ</w:t>
      </w:r>
    </w:p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eastAsia="Times New Roman" w:hAnsi="GHEA Grapalat" w:cs="Times Armenian"/>
          <w:b/>
          <w:sz w:val="24"/>
          <w:szCs w:val="24"/>
          <w:lang w:val="pt-BR" w:eastAsia="ru-RU"/>
        </w:rPr>
      </w:pPr>
    </w:p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0"/>
          <w:szCs w:val="24"/>
          <w:lang w:val="pt-BR" w:eastAsia="ru-RU"/>
        </w:rPr>
      </w:pP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>ՏԵԽՆԻԿԱԿԱՆ ԲՆՈՒԹԱԳԻՐ - ԳՆՄԱՆ ԺԱՄԱՆԱԿԱՑՈՒՅՑ*</w:t>
      </w:r>
    </w:p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0"/>
          <w:szCs w:val="24"/>
          <w:lang w:val="hy-AM" w:eastAsia="ru-RU"/>
        </w:rPr>
      </w:pP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212B2B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  <w:t xml:space="preserve">                                                                ՀՀ դրամ</w:t>
      </w:r>
    </w:p>
    <w:tbl>
      <w:tblPr>
        <w:tblW w:w="160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30"/>
        <w:gridCol w:w="1350"/>
        <w:gridCol w:w="5400"/>
        <w:gridCol w:w="900"/>
        <w:gridCol w:w="1080"/>
        <w:gridCol w:w="1170"/>
        <w:gridCol w:w="900"/>
        <w:gridCol w:w="990"/>
        <w:gridCol w:w="1800"/>
        <w:gridCol w:w="33"/>
      </w:tblGrid>
      <w:tr w:rsidR="004F08D1" w:rsidRPr="00212B2B" w:rsidTr="00C54528">
        <w:tc>
          <w:tcPr>
            <w:tcW w:w="16053" w:type="dxa"/>
            <w:gridSpan w:val="11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Ապրանքի</w:t>
            </w:r>
          </w:p>
        </w:tc>
      </w:tr>
      <w:tr w:rsidR="004F08D1" w:rsidRPr="00212B2B" w:rsidTr="00C54528">
        <w:trPr>
          <w:gridAfter w:val="1"/>
          <w:wAfter w:w="33" w:type="dxa"/>
          <w:trHeight w:val="219"/>
        </w:trPr>
        <w:tc>
          <w:tcPr>
            <w:tcW w:w="90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53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35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 xml:space="preserve">անվանումը 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540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տեխնիկական բնութագիրը</w:t>
            </w:r>
          </w:p>
        </w:tc>
        <w:tc>
          <w:tcPr>
            <w:tcW w:w="90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չափման միավորը</w:t>
            </w:r>
          </w:p>
        </w:tc>
        <w:tc>
          <w:tcPr>
            <w:tcW w:w="108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միավոր գինը/ՀՀ դրամ</w:t>
            </w:r>
          </w:p>
        </w:tc>
        <w:tc>
          <w:tcPr>
            <w:tcW w:w="117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ընդհանուր գինը/ՀՀ դրամ</w:t>
            </w:r>
          </w:p>
        </w:tc>
        <w:tc>
          <w:tcPr>
            <w:tcW w:w="90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ընդհանուր քանակը</w:t>
            </w:r>
          </w:p>
        </w:tc>
        <w:tc>
          <w:tcPr>
            <w:tcW w:w="2790" w:type="dxa"/>
            <w:gridSpan w:val="2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մատակարարման</w:t>
            </w:r>
          </w:p>
        </w:tc>
      </w:tr>
      <w:tr w:rsidR="004F08D1" w:rsidRPr="00212B2B" w:rsidTr="00C54528">
        <w:trPr>
          <w:gridAfter w:val="1"/>
          <w:wAfter w:w="33" w:type="dxa"/>
          <w:trHeight w:val="1512"/>
        </w:trPr>
        <w:tc>
          <w:tcPr>
            <w:tcW w:w="90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540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9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ենթակա քանակը</w:t>
            </w:r>
          </w:p>
        </w:tc>
        <w:tc>
          <w:tcPr>
            <w:tcW w:w="18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Ժամկետը***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</w:tr>
      <w:tr w:rsidR="004F08D1" w:rsidRPr="00212B2B" w:rsidTr="00C54528">
        <w:trPr>
          <w:gridAfter w:val="1"/>
          <w:wAfter w:w="33" w:type="dxa"/>
          <w:trHeight w:val="246"/>
        </w:trPr>
        <w:tc>
          <w:tcPr>
            <w:tcW w:w="9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  <w:t>1</w:t>
            </w:r>
          </w:p>
        </w:tc>
        <w:tc>
          <w:tcPr>
            <w:tcW w:w="153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  <w:t>30211280/503</w:t>
            </w:r>
          </w:p>
        </w:tc>
        <w:tc>
          <w:tcPr>
            <w:tcW w:w="135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  <w:t xml:space="preserve">համակարգիչ ամբողջը մեկում </w:t>
            </w:r>
          </w:p>
        </w:tc>
        <w:tc>
          <w:tcPr>
            <w:tcW w:w="54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>Համակարգիչ ամբողջը մեկում (մոնոբլոկ) Էկրան • Առնվազն 23.8 դյույմ, 60.5 սմ • Առնվազն FHD 1920 x 1080 • Տեսակը առնվազն IPS WLED Backlit LCD • Գույնային գամմա առնվազն 72% NTSC • Պայծառություն առնվազն 250 nits • Եռակողմ միկրո եզր ' հակապատկերային ծածկույթով Պրոցեսոր  • Պրոցեսորի արտադրման նվազագույն տարեթիվը 2024թ</w:t>
            </w:r>
            <w:r w:rsidRPr="00212B2B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Ֆիզիկական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միջուկների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քանակը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նվազագույնը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10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Թելերի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ընդհանուր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քանակը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(Total Threads)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նվազագույնը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14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Առավելագույն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տուրբո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հաճախականությունը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նվազագույնը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4,30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ԳՀց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Քեշ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նվազագույնը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12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ՄԲ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•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Պրոցեսորի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բազային հզորությունը նվազագույնը 15 Վտ • Պրոցեսորի բազային առավելագույն տուրբո հզորությունը նվազագույնը 55 Վտ Օպերատիվ հիշողություն  • Նվազագույնը 8 ԳԲ DDR4 – առնվազն 3200 ՄՀզ (SO-DIMM) • Հիշողության ընդհանուր սլոթեր առնվազն 2 օպերատիվ հիշողության տեղադրման հնարավորություն (2xSODIMM slot), Առավելագույն օպերատիվ հիշողության ավելացման հնարավորությունը 32ԳԲ Կուտակիչ • Կուտակիչ նվազագույնը – 256 Գբ SSD M.2 2280 NVMe • Համակարգիչը պետք է ունենա ընդլայնման հնարավորություն. • մեկ կրիչ ընդլայնման հնարավորություն, 1x2.5" HDD • 2,5 դյույմ HDD մինչև 1ՏԲ Տեսաքարտ  • Ներկառուցված (Integrated) Ներկառուցված տեսախցիկ • Առնվազն 5 մեգապիքսել վեբ-տեսախցիկ (բարձրացման հնարավորությամբ), կրկնակի խոսափողով Բարձրախոս • Առնվազն 2 Վտ բարձր կատարողականությամբ ինտեգրված ստերեո բարձրախոսներ Անլար աջակցություն առնվազն • Realtek Wi-Fi 6 (2x2) և Bluetooth 5.3 Միացման պորտեր Պորտեր • Առնվազն x1 USB Type-C 5 Գբիտ / վրկ ազդանշանային արագության պորտ • Առնվազն x1 USB Type-A 5 Գբիտ/վ ազդանշանային արագության պորտ • Առնվազն x2 USB 2.0 Type-A 480 Մբիթ/վրկ ազդանշանային արագության պորտեր • Առնվազն 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lastRenderedPageBreak/>
              <w:t>x1 RJ-45 (ցանցային) պորտ • Առնվազն x1 HDMI 1.4 ելքի միակցիչ • Առնվազն x1 խոսափողի/ականջակալների համակցված խցիկ • Առնվազն x1 հոսանքի միակցիչ Ընդլայնման ներքին պորտեր • Առնվազն x1 M. 2 PCIe x1 2230 (անլար ցանցի համար) • Առնվազն x1 M. 2 PCIe x4 2280 (պահեստավորման համար) • Առնվազն x1 SATA տվյալների պահպանման միակցիչ Էլեկտրամատակարարում • Առնվազն 65-90 Վտ խելացի AC ադապտեր Ստեղնաշար մկնիկ • Ստեղնաշար լարով • Մկնիկ լարով • Ստեղնաշարը և մկնիկը պետք  է  արտադված լինեն նույն արտադրողի կողմից և ներառված լինի տուփում Էկոմարկետավորված հավաստագրեր և հայտարարագրեր առնվազն • Գրանցված է EPEAT® Փաթեթի պարունակությունը • Մոնոբլոկ 23.8 դյույմ • Հոսանքի սնուցման ադապտեր • Ստեղնաշար լարով • Մկնիկ լարով • Արագ մեկնարկի ուղեցույց Երաշխիքային ապահովում և սպասարկում  • Երաշխիքային սպասարկում մեկ տարի  • Երաշխիքային սպասարկման ապահովում արտադրողի պաշտոնական սպասարկման առնվազն մեկ  կենտրոնում  և արտադրողից տեղեկանք այն մասին, որ ապրանքն արտաադրված է Հայաստանի Հանրապետությունն ընդգրկող տարածաշրջանում սպառման և սպասարկման համար (ՄԱՖ կամ ԴԱՖ): Հրավերով նախատեսված՝ առաջարկվող ապրանքի տեխնիկական բնութագիրը ներկայացնելիս տրամադրվում է նաև պաշտոնական սպասարկման կենտրոնի տվյալները և ՄԱՖ կամ ԴԱՖ հավաստագրերը: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 w:eastAsia="ru-RU"/>
              </w:rPr>
              <w:t xml:space="preserve"> •  Ապրանքը  պետք է լինի  նոր, չօգտագործված, գործարանային փաթեթավորմամբ:</w:t>
            </w:r>
            <w:r w:rsidRPr="00212B2B">
              <w:rPr>
                <w:rFonts w:ascii="Arial" w:eastAsia="Times New Roman" w:hAnsi="Arial" w:cs="Arial"/>
                <w:sz w:val="24"/>
                <w:szCs w:val="24"/>
                <w:lang w:val="hy-AM" w:eastAsia="ru-RU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315000</w:t>
            </w:r>
          </w:p>
        </w:tc>
        <w:tc>
          <w:tcPr>
            <w:tcW w:w="117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18900000</w:t>
            </w:r>
          </w:p>
        </w:tc>
        <w:tc>
          <w:tcPr>
            <w:tcW w:w="9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60</w:t>
            </w:r>
          </w:p>
        </w:tc>
        <w:tc>
          <w:tcPr>
            <w:tcW w:w="99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60</w:t>
            </w:r>
          </w:p>
        </w:tc>
        <w:tc>
          <w:tcPr>
            <w:tcW w:w="180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sz w:val="16"/>
                <w:szCs w:val="16"/>
                <w:lang w:val="hy-AM" w:eastAsia="ru-RU"/>
              </w:rPr>
              <w:t>հետո 20</w:t>
            </w:r>
            <w:r w:rsidRPr="00212B2B">
              <w:rPr>
                <w:rFonts w:ascii="GHEA Grapalat" w:eastAsia="Times New Roman" w:hAnsi="GHEA Grapalat" w:cs="Times New Roman"/>
                <w:color w:val="FF0000"/>
                <w:sz w:val="16"/>
                <w:szCs w:val="16"/>
                <w:lang w:val="hy-AM" w:eastAsia="ru-RU"/>
              </w:rPr>
              <w:t xml:space="preserve"> 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օրացույցային օրվա ընթացքում:</w:t>
            </w:r>
          </w:p>
        </w:tc>
      </w:tr>
    </w:tbl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hy-AM" w:eastAsia="ru-RU"/>
        </w:rPr>
        <w:t xml:space="preserve"> 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>Պարտադիր պայման ` Բ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ոլոր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ապրանքները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պետք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է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լինեն</w:t>
      </w:r>
      <w:r w:rsidRPr="00212B2B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</w:t>
      </w:r>
      <w:r w:rsidRPr="00212B2B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չօգտագործված:</w:t>
      </w: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  <w:r w:rsidRPr="00212B2B">
        <w:rPr>
          <w:rFonts w:ascii="GHEA Grapalat" w:eastAsia="Calibri" w:hAnsi="GHEA Grapalat" w:cs="Times New Roman"/>
          <w:i/>
          <w:lang w:val="af-ZA"/>
        </w:rPr>
        <w:t xml:space="preserve">* </w:t>
      </w:r>
      <w:r w:rsidRPr="00212B2B">
        <w:rPr>
          <w:rFonts w:ascii="GHEA Grapalat" w:eastAsia="Calibri" w:hAnsi="GHEA Grapalat" w:cs="Times New Roman"/>
          <w:i/>
          <w:lang w:val="hy-AM"/>
        </w:rPr>
        <w:t>Մատակարարումն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 </w:t>
      </w:r>
      <w:r w:rsidRPr="00212B2B">
        <w:rPr>
          <w:rFonts w:ascii="GHEA Grapalat" w:eastAsia="Calibri" w:hAnsi="GHEA Grapalat" w:cs="Times New Roman"/>
          <w:i/>
          <w:lang w:val="hy-AM"/>
        </w:rPr>
        <w:t>իրականացվում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 </w:t>
      </w:r>
      <w:r w:rsidRPr="00212B2B">
        <w:rPr>
          <w:rFonts w:ascii="GHEA Grapalat" w:eastAsia="Calibri" w:hAnsi="GHEA Grapalat" w:cs="Times New Roman"/>
          <w:i/>
          <w:lang w:val="hy-AM"/>
        </w:rPr>
        <w:t>է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 </w:t>
      </w:r>
      <w:r w:rsidRPr="00212B2B">
        <w:rPr>
          <w:rFonts w:ascii="GHEA Grapalat" w:eastAsia="Calibri" w:hAnsi="GHEA Grapalat" w:cs="Times New Roman"/>
          <w:i/>
          <w:lang w:val="hy-AM"/>
        </w:rPr>
        <w:t>մատակարարի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 </w:t>
      </w:r>
      <w:r w:rsidRPr="00212B2B">
        <w:rPr>
          <w:rFonts w:ascii="GHEA Grapalat" w:eastAsia="Calibri" w:hAnsi="GHEA Grapalat" w:cs="Times New Roman"/>
          <w:i/>
          <w:lang w:val="hy-AM"/>
        </w:rPr>
        <w:t>կողմից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` 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hy-AM"/>
        </w:rPr>
        <w:t>ք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af-ZA"/>
        </w:rPr>
        <w:t xml:space="preserve">. 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hy-AM"/>
        </w:rPr>
        <w:t>Երևան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af-ZA"/>
        </w:rPr>
        <w:t xml:space="preserve">, 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hy-AM"/>
        </w:rPr>
        <w:t>Վ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af-ZA"/>
        </w:rPr>
        <w:t xml:space="preserve">. 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hy-AM"/>
        </w:rPr>
        <w:t>Սարգսյան</w:t>
      </w:r>
      <w:r w:rsidRPr="00212B2B">
        <w:rPr>
          <w:rFonts w:ascii="GHEA Grapalat" w:eastAsia="Calibri" w:hAnsi="GHEA Grapalat" w:cs="Times New Roman"/>
          <w:b/>
          <w:i/>
          <w:sz w:val="20"/>
          <w:szCs w:val="20"/>
          <w:lang w:val="af-ZA"/>
        </w:rPr>
        <w:t xml:space="preserve"> 5</w:t>
      </w:r>
      <w:r w:rsidRPr="00212B2B">
        <w:rPr>
          <w:rFonts w:ascii="GHEA Grapalat" w:eastAsia="Calibri" w:hAnsi="GHEA Grapalat" w:cs="Times New Roman"/>
          <w:i/>
          <w:lang w:val="af-ZA"/>
        </w:rPr>
        <w:t xml:space="preserve"> </w:t>
      </w:r>
      <w:r w:rsidRPr="00212B2B">
        <w:rPr>
          <w:rFonts w:ascii="GHEA Grapalat" w:eastAsia="Calibri" w:hAnsi="GHEA Grapalat" w:cs="Times New Roman"/>
          <w:i/>
          <w:lang w:val="hy-AM"/>
        </w:rPr>
        <w:t>հասցեով</w:t>
      </w: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spacing w:after="0" w:line="240" w:lineRule="auto"/>
        <w:ind w:left="426"/>
        <w:contextualSpacing/>
        <w:rPr>
          <w:rFonts w:ascii="GHEA Grapalat" w:eastAsia="Calibri" w:hAnsi="GHEA Grapalat" w:cs="Times New Roman"/>
          <w:i/>
          <w:lang w:val="hy-AM"/>
        </w:rPr>
      </w:pPr>
    </w:p>
    <w:p w:rsidR="004F08D1" w:rsidRPr="00212B2B" w:rsidRDefault="004F08D1" w:rsidP="004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4"/>
          <w:szCs w:val="24"/>
          <w:lang w:val="hy-AM" w:eastAsia="ru-RU"/>
        </w:rPr>
      </w:pPr>
      <w:r w:rsidRPr="00212B2B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lastRenderedPageBreak/>
        <w:t>ТЕХНИЧЕСКАЯ ХАРАКТЕРИСТИКА-ГРАФИК ЗАКУПКИ</w:t>
      </w:r>
    </w:p>
    <w:p w:rsidR="004F08D1" w:rsidRPr="00212B2B" w:rsidRDefault="004F08D1" w:rsidP="004F08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 Armenian"/>
          <w:sz w:val="24"/>
          <w:szCs w:val="24"/>
          <w:lang w:val="hy-AM" w:eastAsia="ru-RU"/>
        </w:rPr>
      </w:pPr>
      <w:r w:rsidRPr="00212B2B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Драмов РА</w:t>
      </w:r>
    </w:p>
    <w:tbl>
      <w:tblPr>
        <w:tblW w:w="15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910"/>
        <w:gridCol w:w="1530"/>
        <w:gridCol w:w="1620"/>
        <w:gridCol w:w="4964"/>
        <w:gridCol w:w="810"/>
        <w:gridCol w:w="1080"/>
        <w:gridCol w:w="1194"/>
        <w:gridCol w:w="955"/>
        <w:gridCol w:w="16"/>
        <w:gridCol w:w="236"/>
        <w:gridCol w:w="915"/>
        <w:gridCol w:w="1692"/>
        <w:gridCol w:w="24"/>
      </w:tblGrid>
      <w:tr w:rsidR="004F08D1" w:rsidRPr="00212B2B" w:rsidTr="00C54528">
        <w:trPr>
          <w:gridAfter w:val="1"/>
          <w:wAfter w:w="24" w:type="dxa"/>
          <w:jc w:val="center"/>
        </w:trPr>
        <w:tc>
          <w:tcPr>
            <w:tcW w:w="15935" w:type="dxa"/>
            <w:gridSpan w:val="13"/>
          </w:tcPr>
          <w:p w:rsidR="004F08D1" w:rsidRPr="00212B2B" w:rsidRDefault="004F08D1" w:rsidP="00C5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Товар</w:t>
            </w:r>
          </w:p>
        </w:tc>
      </w:tr>
      <w:tr w:rsidR="004F08D1" w:rsidRPr="00212B2B" w:rsidTr="00C54528">
        <w:trPr>
          <w:gridBefore w:val="1"/>
          <w:wBefore w:w="13" w:type="dxa"/>
          <w:trHeight w:val="219"/>
          <w:jc w:val="center"/>
        </w:trPr>
        <w:tc>
          <w:tcPr>
            <w:tcW w:w="91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номер предусмотренного приглашением лота</w:t>
            </w:r>
          </w:p>
        </w:tc>
        <w:tc>
          <w:tcPr>
            <w:tcW w:w="153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2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 xml:space="preserve">наименование 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</w:p>
        </w:tc>
        <w:tc>
          <w:tcPr>
            <w:tcW w:w="4964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техническая характеристика</w:t>
            </w:r>
          </w:p>
        </w:tc>
        <w:tc>
          <w:tcPr>
            <w:tcW w:w="81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единица измерения</w:t>
            </w:r>
          </w:p>
        </w:tc>
        <w:tc>
          <w:tcPr>
            <w:tcW w:w="1080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цена единицы/драмов РА</w:t>
            </w:r>
          </w:p>
        </w:tc>
        <w:tc>
          <w:tcPr>
            <w:tcW w:w="1194" w:type="dxa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общая цена/драмов РА</w:t>
            </w:r>
          </w:p>
        </w:tc>
        <w:tc>
          <w:tcPr>
            <w:tcW w:w="971" w:type="dxa"/>
            <w:gridSpan w:val="2"/>
            <w:vMerge w:val="restart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26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общий объем</w:t>
            </w:r>
          </w:p>
        </w:tc>
        <w:tc>
          <w:tcPr>
            <w:tcW w:w="2867" w:type="dxa"/>
            <w:gridSpan w:val="4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val="hy-AM" w:eastAsia="ru-RU"/>
              </w:rPr>
              <w:t>поставк</w:t>
            </w: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и</w:t>
            </w:r>
          </w:p>
        </w:tc>
      </w:tr>
      <w:tr w:rsidR="004F08D1" w:rsidRPr="00212B2B" w:rsidTr="00C54528">
        <w:trPr>
          <w:gridBefore w:val="1"/>
          <w:wBefore w:w="13" w:type="dxa"/>
          <w:trHeight w:val="1270"/>
          <w:jc w:val="center"/>
        </w:trPr>
        <w:tc>
          <w:tcPr>
            <w:tcW w:w="91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53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4964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194" w:type="dxa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gridSpan w:val="2"/>
            <w:vMerge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left w:val="nil"/>
            </w:tcBorders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right="-84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подлежащее поставке количество товара</w:t>
            </w:r>
          </w:p>
        </w:tc>
        <w:tc>
          <w:tcPr>
            <w:tcW w:w="1716" w:type="dxa"/>
            <w:gridSpan w:val="2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срок</w:t>
            </w:r>
          </w:p>
        </w:tc>
      </w:tr>
      <w:tr w:rsidR="004F08D1" w:rsidRPr="00212B2B" w:rsidTr="00C54528">
        <w:trPr>
          <w:gridAfter w:val="1"/>
          <w:wAfter w:w="24" w:type="dxa"/>
          <w:trHeight w:val="246"/>
          <w:jc w:val="center"/>
        </w:trPr>
        <w:tc>
          <w:tcPr>
            <w:tcW w:w="923" w:type="dxa"/>
            <w:gridSpan w:val="2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  <w:t>1</w:t>
            </w:r>
          </w:p>
        </w:tc>
        <w:tc>
          <w:tcPr>
            <w:tcW w:w="153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8"/>
                <w:szCs w:val="20"/>
                <w:lang w:val="hy-AM" w:eastAsia="ru-RU"/>
              </w:rPr>
              <w:t>30211280/503</w:t>
            </w:r>
          </w:p>
        </w:tc>
        <w:tc>
          <w:tcPr>
            <w:tcW w:w="1620" w:type="dxa"/>
            <w:vAlign w:val="center"/>
          </w:tcPr>
          <w:p w:rsidR="004F08D1" w:rsidRPr="00212B2B" w:rsidRDefault="004F08D1" w:rsidP="00C54528">
            <w:pPr>
              <w:tabs>
                <w:tab w:val="left" w:pos="70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Компьютер все в одном</w:t>
            </w:r>
          </w:p>
        </w:tc>
        <w:tc>
          <w:tcPr>
            <w:tcW w:w="4964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Компьютер все в одном (моноблок) Экран • Не менее 23,8 дюйма, 60,5 см • Не менее FHD 1920 x 1080 • Тип не менее IPS WLED Backlit LCD • Цветовая гамма не менее 72% NTSC • Яркость не менее 250 nits • Трехсторонний микроканал с контрастным покрытием Процессор  • Минимальный год выпуска процессора 2024 г. • Количество физических ядер не менее 10 • Общее количество потоков (Total Threads) не менее 14 • Максимальная турбо-частота не менее 4,30 ГГц  • Кэш минимум 12 МБ • Базовая мощность процессора не менее 15 Вт • Максимальная базовая мощность процессора с турбонаддувом не менее 55 Вт Оперативная память  • Минимум 8 ГБ DDR4 – не менее 3200 МГц (SO-DIMM) • Общее количество слотов памяти не менее 2 для оперативной памяти возможность установки ((2xSODIMM slot)), возможность увеличения максимальной оперативной памяти до 32 ГБ Аккумулятор • Минимум накопителя – 256 Гб SSD M.2 2280 NVMe • Компьютер должен иметь расширение возможность. • возможность расширения на один диск, 1x2.5" HDD • 2,5 дюйма HDD до 1ТБ Видеокарта  • Встроенный (Integrated) Встроенная камера • Веб-камера не менее 5 мегапикселей (с возможностью подъема), двойной микрофон Динамик • Высокопроизводительные встроенные стереодинамики мощностью не менее 2 Вт. Беспроводная поддержка как минимум • Realtek Wi-Fi 6 (2x2) и Bluetooth 5.3 Порты подключения Порты • Порт со скоростью сигнала не менее X1 USB Type-C 5 Гбит / с • Порт со скоростью сигнала не менее X1 USB Type-A 5 Гбит / с • Порты со скоростью сигнала не менее x2 USB 2.0 Type-A 480 Мбит/с • Минимум X1 порт RJ-45 (сетевой)  • Выходной разъем не менее x1 HDMI 1.4 • Комбинированный разъем для микрофона/наушников не менее x1 • Разъем питания не менее x1 Внутренние порты расширения • Не менее x1 М. 2 PCIe x1 2230 (для беспроводной сети) • Не менее x1 М. 2 PCIe x4 2280 (для хранения) • Разъем для хранения данных SATA не менее x1 Источник питания • Интеллектуальный адаптер переменного тока мощностью не менее 65-90 Вт. Клавиатура мышь • Проводная клавиатура • Мышь со шнуром 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• клавиатура и мышь должны быть изготовлены одним и тем же производителем и поставляться в комплекте с сертификаты и декларации экомаркировки не менее * зарегистрировано содержимое упаковки EBEAT® • моноблок 23,8 дюйма • адаптер питания • краткое руководство по гарантии и обслуживанию • гарантийное обслуживание в </w:t>
            </w: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lastRenderedPageBreak/>
              <w:t>течение одного года  • Гарантийное обслуживание в течение одного года • обеспечение гарантийного обслуживания по крайней мере в одном официальном сервисном центре производителя и справка от производителя о том, что товар предназначен для потребления и обслуживания в регионе, охватывающем Республику Армения (MAF или DAF).:</w:t>
            </w:r>
          </w:p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• Продукт должен быть новым, неиспользованным, в заводской упаковке. </w:t>
            </w:r>
          </w:p>
        </w:tc>
        <w:tc>
          <w:tcPr>
            <w:tcW w:w="81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eastAsia="ru-RU"/>
              </w:rPr>
              <w:lastRenderedPageBreak/>
              <w:t>штук</w:t>
            </w:r>
          </w:p>
        </w:tc>
        <w:tc>
          <w:tcPr>
            <w:tcW w:w="1080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315000</w:t>
            </w:r>
          </w:p>
        </w:tc>
        <w:tc>
          <w:tcPr>
            <w:tcW w:w="1194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18900000</w:t>
            </w:r>
          </w:p>
        </w:tc>
        <w:tc>
          <w:tcPr>
            <w:tcW w:w="955" w:type="dxa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60</w:t>
            </w:r>
          </w:p>
        </w:tc>
        <w:tc>
          <w:tcPr>
            <w:tcW w:w="1167" w:type="dxa"/>
            <w:gridSpan w:val="3"/>
            <w:vAlign w:val="center"/>
          </w:tcPr>
          <w:p w:rsidR="004F08D1" w:rsidRPr="00212B2B" w:rsidRDefault="004F08D1" w:rsidP="00C5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 w:eastAsia="ru-RU"/>
              </w:rPr>
            </w:pPr>
            <w:r w:rsidRPr="00212B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60</w:t>
            </w:r>
          </w:p>
        </w:tc>
        <w:tc>
          <w:tcPr>
            <w:tcW w:w="1692" w:type="dxa"/>
            <w:vAlign w:val="center"/>
          </w:tcPr>
          <w:p w:rsidR="004F08D1" w:rsidRPr="00212B2B" w:rsidRDefault="004F08D1" w:rsidP="00C5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  <w:r w:rsidRPr="00212B2B">
              <w:rPr>
                <w:rFonts w:ascii="GHEA Grapalat" w:eastAsia="Times New Roman" w:hAnsi="GHEA Grapalat" w:cs="Times Armenian"/>
                <w:bCs/>
                <w:iCs/>
                <w:sz w:val="20"/>
                <w:szCs w:val="20"/>
                <w:lang w:val="hy-AM" w:eastAsia="ru-RU"/>
              </w:rPr>
              <w:t xml:space="preserve">В течение 20 календарных дней со дня заключения дополнительного соглашения после предназначения финансовых средств по договору 2025. </w:t>
            </w:r>
          </w:p>
        </w:tc>
      </w:tr>
    </w:tbl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Times Armenian"/>
          <w:sz w:val="24"/>
          <w:szCs w:val="24"/>
          <w:lang w:eastAsia="ru-RU"/>
        </w:rPr>
      </w:pPr>
      <w:r w:rsidRPr="00212B2B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 xml:space="preserve">Обязательное условие: </w:t>
      </w:r>
      <w:r w:rsidRPr="00212B2B">
        <w:rPr>
          <w:rFonts w:ascii="Times Armenian" w:eastAsia="Times New Roman" w:hAnsi="Times Armenian" w:cs="Times Armenian"/>
          <w:sz w:val="24"/>
          <w:szCs w:val="24"/>
          <w:lang w:eastAsia="ru-RU"/>
        </w:rPr>
        <w:t xml:space="preserve"> </w:t>
      </w:r>
      <w:r w:rsidRPr="00212B2B">
        <w:rPr>
          <w:rFonts w:ascii="GHEA Grapalat" w:eastAsia="Times New Roman" w:hAnsi="GHEA Grapalat" w:cs="Times Armenian"/>
          <w:sz w:val="24"/>
          <w:szCs w:val="24"/>
          <w:lang w:eastAsia="ru-RU"/>
        </w:rPr>
        <w:t xml:space="preserve">Товары должны быть неиспользованными. </w:t>
      </w:r>
    </w:p>
    <w:p w:rsidR="004F08D1" w:rsidRPr="00212B2B" w:rsidRDefault="004F08D1" w:rsidP="004F0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42"/>
          <w:szCs w:val="42"/>
        </w:rPr>
      </w:pPr>
      <w:r w:rsidRPr="00212B2B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* </w:t>
      </w:r>
      <w:r w:rsidRPr="00212B2B">
        <w:rPr>
          <w:rFonts w:ascii="GHEA Grapalat" w:eastAsia="Times New Roman" w:hAnsi="GHEA Grapalat" w:cs="Courier New"/>
          <w:b/>
          <w:i/>
          <w:sz w:val="20"/>
          <w:szCs w:val="20"/>
          <w:lang w:val="af-ZA" w:eastAsia="ru-RU"/>
        </w:rPr>
        <w:t>Поставка осуществляется поставщиком по адресу: г. Ереван, В. Саргсяна 5.</w:t>
      </w:r>
    </w:p>
    <w:p w:rsidR="004F08D1" w:rsidRPr="00212B2B" w:rsidRDefault="004F08D1" w:rsidP="004F08D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pt-BR" w:eastAsia="ru-RU"/>
        </w:rPr>
      </w:pPr>
    </w:p>
    <w:p w:rsidR="004F08D1" w:rsidRDefault="004F08D1" w:rsidP="004F08D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HEA Grapalat" w:eastAsia="Arial Unicode MS" w:hAnsi="GHEA Grapalat" w:cs="Arial"/>
          <w:sz w:val="24"/>
          <w:szCs w:val="24"/>
          <w:lang w:val="es-ES" w:eastAsia="ru-RU"/>
        </w:rPr>
      </w:pPr>
    </w:p>
    <w:sectPr w:rsidR="004F08D1" w:rsidSect="007D046A">
      <w:pgSz w:w="16838" w:h="11906" w:orient="landscape"/>
      <w:pgMar w:top="426" w:right="8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4F"/>
    <w:rsid w:val="004F08D1"/>
    <w:rsid w:val="007C7C9E"/>
    <w:rsid w:val="009B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2B8E2-6F2D-41DE-83AF-1B6C8FC3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6041</Characters>
  <Application>Microsoft Office Word</Application>
  <DocSecurity>0</DocSecurity>
  <Lines>50</Lines>
  <Paragraphs>14</Paragraphs>
  <ScaleCrop>false</ScaleCrop>
  <Company>gypnor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Mashkovskaya</dc:creator>
  <cp:keywords/>
  <dc:description/>
  <cp:lastModifiedBy>Viktoriya Mashkovskaya</cp:lastModifiedBy>
  <cp:revision>2</cp:revision>
  <dcterms:created xsi:type="dcterms:W3CDTF">2025-10-29T07:08:00Z</dcterms:created>
  <dcterms:modified xsi:type="dcterms:W3CDTF">2025-10-29T07:09:00Z</dcterms:modified>
</cp:coreProperties>
</file>