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ԵՔ-ԷԱՃԱՊՁԲ-25/367</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спецодежда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комплект одежды, состоящий из зимнего куртки с капюшоном, зимних брюк, защитной рабочей обуви и вязаной зимней шапки
Куртка и брюки должны быть сшиты из ткани полиэстер хлопок. Ткань должна обладать масловоротостойкостью (МВО) и защитой от кислот (концентрация 50 %) (защита от кислот концентрации 50 % – К50). Состав ткани: 35 % хлопок, 65 % полиэстер, поверхностная плотность — 245 ± 5 г/м². Разрывная нагрузка ткани по основе — не менее 1 100 Н, по утку — не менее 800 Н. Жиростойкость / показатель масловозвращения ткани в исходном виде должен составлять 5 баллов, и после 5-кратной стирки показатель не должен изменяться. Показатель кислотостойкости ткани в исходном виде должен быть 6 часов, и после 5 кратной стирки не должен изменяться. Линейное изменение размеров одежды после влажной обработки: по основе – не более –2 %, по утку – 1,5 %.
Цветовое сочетание одежды: тёмно синий (код цвета 19 3920 TCX) в сочетании с флуоресцентно лимонным жёлтым цветом (код цвета 13 0630 TN). 
Крой куртки — с прямым силуэтом, в нижней части предусмотрен пояс с резиновой манжетой. Длина — от линии талии вниз на 15–20 см, с вертикальным воротником стойкой. На молнии предусмотрена тканевая планка и ярлык с указанием размера. В передней и задней части куртки как утепляющий вкладыш размещается синтепон плотностью 300 г/м², прошитый с чёрной шелковой подкладкой диагональной стежкой, а на рукавах — синтепон плотностью 200 г/м², также прошитый с чёрной шелковой подкладкой диагональной стежкой. Поверхностная плотность шелковой подкладки должна быть не менее 60 ± 5 г/м². Между синтепоном и шелковой подкладкой прокладывается нетканый материал, чтобы предотвратить проникновение синтепона наружу. 
Рукава окрашенные, в области запястья — резиновая манжета шириной 5 см. Куртка застёгивается под защёлку (планку ветро защиты) на нейлоновую цепочку. Защитная планка крепится к передней части 4–5 парами никелевых кнопок.
В нижней боковой части куртки есть 2 внутренних кармана, вход в которые обработан узкими лампасами флуоресцентно лимонного цвета, внутри которых проложены нейлоновые шнурки. Также куртка имеет 1–2 наружных объёмных кармана в области груди. Карманы на груди закрываются клапанами — клапаны состоят из двух слоёв ткани: верхний — тёмно синий, внутренний — флуоресцентно лимонный, шириной на 1–2 мм меньше верхнего. Клапан выполнен с одной стороны прямым срезом, с другой — косым. Наружный карман груди (или карманы) обработаны двойным швом, а на покрывающих клапанах расположены «жабы» (петли) для открытия, чтобы не загрязнять карманы. Кнопки для закрытия карманов — липучки.
По всей окружности груди куртки, а также по рукавам установлены светоотражающие ленты шириной 4 см. На спине и по всей окружности рукавов светоотражающие ленты размещаются в два ряда. Основа светоотражающих лент — 30 % хлопок, 70 % полиэстер. После 40 циклов стирки при температуре 600 °С коэффициент световозвращения не должен быть меньше 470 кд/лк•м².
Все отделочные швы куртки должны выполняться двойным швом на машине для двойного шва. На спинке вышивается методом машинной вышивки надпись «Аджапняк», а на левом кармане груди — логотип мэрии Еревана на наружной части ткани, соблюдая пропорции изображения. Размеры вышивки на спине и логотипа на груди согласовываются с Заказчиком.
Капюшон состоит из 3 секций: центральная — флуоресцентно лимонная, боковые — тёмно синие. Капюшон отделён от куртки цепочкой; застёжка выполняется двумя перекрещивающимися парами липучек длиной 7 см. На внутренней стороне куртки, на высоте 15 см от низа, пришивается нейлоновая информационная бирка, на которой указываются данные изготовителя / условия гарантии, размер одежды, краткое описание одежды и инструкции по уходу.
Брюки — прямого кроя. С внутренней стороны как утепляющий вкладыш расположен синтепон плотностью 100–150 г/м², соединённый с чёрной шелковой подкладкой ультразвуковой стачкой. Поверхностная плотность шелковой подкладки должна быть не менее 60 ± 5 г/м². Между синтепоном и шелковой подкладкой прокладывается нетканый материал. Брюки имеют спереди 2 боковых внутренних кармана и 1–2 наружных объёмных кармана в области колен. Вход боковых внутренних карманов косой; входы обработаны узкими лампасами флуоресцентно лимонного цвета. Наружные карманы закрываются клапанами — клапаны состоят из двух слоёв ткани: верхний — тёмно синий, внутренний — флуоресцентно лимонный, шириной на 1–2 мм меньше верхнего. Клапаны выполнены двойным швом, на клапанах расположены «жабы» для открывания и защиты от загрязнения. Кнопки — липучки.
Пояс брюк шириной 4 см, имеет 5 петель для ремня. Передняя часть застёгивается нейлоновой цепочкой и пуговицей. В поясе вставлена эластичная резинка шириной 3,5–4 см (шиблет-тип), позволяющая регулировать размер брюк. Внизу ног (ниже колен) расположены двойные светоотражающие ленты шириной 4 см. Основа лент — 30 % хлопок, 70 % полиэстер. После 40 циклов стирки при 600 °С коэффициент световозвращения не должен быть меньше 470 кд/лк•м². Все отделочные швы брюк должны быть двойным. Упаковка — в прозрачные полиэтиленовые пакеты, по одному комплекту в каждом пакете. Пакеты маркируются; на ярлыках указываются название модели, количество, размер.
Защитная рабочая обувь предназначена для обеспечения безопасности сотрудников. Обувь должна соответствовать стандарту EN 20345 с уровнем защиты S3. Обувь состоит из носка, нижней части берца, верхней части берца, язычка и подошвы. Носок, нижние части берцов и язычок должны быть из черной натуральной юфтевой кожи толщиной 1,9–2,1 мм. Верхняя часть берцев должна быть из светло серой кожи или качественного кожзаменителя, из двух частей: верхняя часть высотой 3 см, нижняя U образной части — центральная часть высотой 6,5 см. С внутренней стороны светло серой кожаной части должен быть размещён поролоновый вкладыш. Язычок — с боковыми закрывающими планками для предотвращения попадания грязи. Общая высота обуви — 15 см, высота берца сзади — 10,5 см. На берцах 5 рядов металлических крючков, шнуровка — разноцветные шнурки. Подошва должна быть выполнена из двухслойного полиуретана: верхний слой — серого цвета, нижний — чёрного. Подошва крепится методом прямого впрыска полиуретана (PU injection), что делает подошву и верх обуви единым целым. Обувь должна иметь металлический носок, рассчитанный на защиту пальцев до 200 Дж, и металлическую гибкую пластину для защиты стопы от острых, режущих предметов. Внутренняя часть обуви — из оранжевой перфорированной ткани. Обувь должна быть изготовлена не ранее 2025 года; соответствующая маркировка должна быть на внутренней стороне язычка. Наружная часть язычка покрыта черным тканым искусственным бархатом.
Вязаная зимняя шапка предназначена для защиты головы работника от холода. Состав ткани: 100 % акрил, цвет — чёрный. Регулировка размера осуществляется за счёт отворота. На передней части, в середине отворота, на искусственном бархате вышивается надпись «Аджапняк».Поставщик перед поставкой должен представить Заказчику один комплект в качестве образца для согласования внешнего вида и всех указанных показателей. Утверждённый образец считается частью контракта и подлежит внесению в акт при передаче последней партии.Поставляемая продукция должна быть новой; по требованию Заказчика поставщик на свои средства должен предоставить по каждой партии аккредитованное лабораторное заключение о соответствии техническим характеристикам.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