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54E" w:rsidRPr="0060554E" w:rsidRDefault="0067222C" w:rsidP="0060554E">
      <w:pPr>
        <w:jc w:val="center"/>
        <w:rPr>
          <w:rFonts w:ascii="Sylfaen" w:hAnsi="Sylfaen" w:cs="Arial"/>
          <w:szCs w:val="24"/>
          <w:lang w:val="hy-AM"/>
        </w:rPr>
      </w:pPr>
      <w:r>
        <w:rPr>
          <w:rFonts w:ascii="Sylfaen" w:eastAsia="Calibri" w:hAnsi="Sylfaen" w:cs="Arial"/>
          <w:szCs w:val="24"/>
        </w:rPr>
        <w:t>Ք</w:t>
      </w:r>
      <w:r w:rsidR="0060554E" w:rsidRPr="0060554E">
        <w:rPr>
          <w:rFonts w:ascii="Sylfaen" w:eastAsia="Calibri" w:hAnsi="Sylfaen" w:cs="Arial"/>
          <w:szCs w:val="24"/>
          <w:lang w:val="hy-AM"/>
        </w:rPr>
        <w:t xml:space="preserve">իմիական նյութերի և պարագաների </w:t>
      </w:r>
      <w:proofErr w:type="spellStart"/>
      <w:r w:rsidR="0060554E">
        <w:rPr>
          <w:rFonts w:ascii="Sylfaen" w:hAnsi="Sylfaen"/>
          <w:lang w:val="es-ES"/>
        </w:rPr>
        <w:t>ձեռքբեր</w:t>
      </w:r>
      <w:r w:rsidR="0060554E" w:rsidRPr="0060554E">
        <w:rPr>
          <w:rFonts w:ascii="Sylfaen" w:hAnsi="Sylfaen" w:cs="Arial"/>
          <w:lang w:val="es-ES"/>
        </w:rPr>
        <w:t>ում</w:t>
      </w:r>
      <w:proofErr w:type="spellEnd"/>
    </w:p>
    <w:tbl>
      <w:tblPr>
        <w:tblW w:w="1166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843"/>
        <w:gridCol w:w="3647"/>
        <w:gridCol w:w="990"/>
        <w:gridCol w:w="749"/>
        <w:gridCol w:w="1560"/>
        <w:gridCol w:w="1741"/>
      </w:tblGrid>
      <w:tr w:rsidR="0060554E" w:rsidRPr="0060554E" w:rsidTr="0060554E">
        <w:trPr>
          <w:trHeight w:val="268"/>
        </w:trPr>
        <w:tc>
          <w:tcPr>
            <w:tcW w:w="11664" w:type="dxa"/>
            <w:gridSpan w:val="7"/>
          </w:tcPr>
          <w:p w:rsidR="0060554E" w:rsidRPr="0060554E" w:rsidRDefault="0060554E" w:rsidP="00012C1B">
            <w:pPr>
              <w:jc w:val="center"/>
              <w:rPr>
                <w:rFonts w:ascii="Sylfaen" w:hAnsi="Sylfaen"/>
                <w:szCs w:val="24"/>
              </w:rPr>
            </w:pPr>
            <w:proofErr w:type="spellStart"/>
            <w:r w:rsidRPr="0060554E">
              <w:rPr>
                <w:rFonts w:ascii="Sylfaen" w:hAnsi="Sylfaen" w:cs="Arial"/>
                <w:sz w:val="20"/>
                <w:szCs w:val="24"/>
              </w:rPr>
              <w:t>Ապրանքներ</w:t>
            </w:r>
            <w:proofErr w:type="spellEnd"/>
          </w:p>
        </w:tc>
      </w:tr>
      <w:tr w:rsidR="0060554E" w:rsidRPr="0060554E" w:rsidTr="0060554E">
        <w:trPr>
          <w:trHeight w:val="504"/>
        </w:trPr>
        <w:tc>
          <w:tcPr>
            <w:tcW w:w="1134" w:type="dxa"/>
            <w:vMerge w:val="restart"/>
            <w:vAlign w:val="center"/>
          </w:tcPr>
          <w:p w:rsidR="0060554E" w:rsidRPr="0060554E" w:rsidRDefault="0060554E" w:rsidP="00012C1B">
            <w:pPr>
              <w:tabs>
                <w:tab w:val="left" w:pos="0"/>
              </w:tabs>
              <w:jc w:val="center"/>
              <w:rPr>
                <w:rFonts w:ascii="Sylfaen" w:hAnsi="Sylfaen"/>
                <w:sz w:val="18"/>
                <w:szCs w:val="24"/>
              </w:rPr>
            </w:pPr>
            <w:r w:rsidRPr="0060554E">
              <w:rPr>
                <w:rFonts w:ascii="Sylfaen" w:hAnsi="Sylfaen" w:cs="Arial"/>
                <w:sz w:val="18"/>
                <w:szCs w:val="24"/>
                <w:lang w:val="hy-AM"/>
              </w:rPr>
              <w:t>հրավերով</w:t>
            </w:r>
            <w:r w:rsidRPr="0060554E">
              <w:rPr>
                <w:rFonts w:ascii="Sylfaen" w:hAnsi="Sylfaen"/>
                <w:sz w:val="18"/>
                <w:szCs w:val="24"/>
              </w:rPr>
              <w:t xml:space="preserve"> </w:t>
            </w:r>
            <w:proofErr w:type="spellStart"/>
            <w:r w:rsidRPr="0060554E">
              <w:rPr>
                <w:rFonts w:ascii="Sylfaen" w:hAnsi="Sylfaen" w:cs="Arial"/>
                <w:sz w:val="18"/>
                <w:szCs w:val="24"/>
              </w:rPr>
              <w:t>նախատեսված</w:t>
            </w:r>
            <w:proofErr w:type="spellEnd"/>
            <w:r w:rsidRPr="0060554E">
              <w:rPr>
                <w:rFonts w:ascii="Sylfaen" w:hAnsi="Sylfaen"/>
                <w:sz w:val="18"/>
                <w:szCs w:val="24"/>
              </w:rPr>
              <w:t xml:space="preserve"> </w:t>
            </w:r>
            <w:proofErr w:type="spellStart"/>
            <w:r w:rsidRPr="0060554E">
              <w:rPr>
                <w:rFonts w:ascii="Sylfaen" w:hAnsi="Sylfaen" w:cs="Arial"/>
                <w:sz w:val="18"/>
                <w:szCs w:val="24"/>
              </w:rPr>
              <w:t>չափաբաժնի</w:t>
            </w:r>
            <w:proofErr w:type="spellEnd"/>
            <w:r w:rsidRPr="0060554E">
              <w:rPr>
                <w:rFonts w:ascii="Sylfaen" w:hAnsi="Sylfaen"/>
                <w:sz w:val="18"/>
                <w:szCs w:val="24"/>
              </w:rPr>
              <w:t xml:space="preserve"> </w:t>
            </w:r>
            <w:proofErr w:type="spellStart"/>
            <w:r w:rsidRPr="0060554E">
              <w:rPr>
                <w:rFonts w:ascii="Sylfaen" w:hAnsi="Sylfaen" w:cs="Arial"/>
                <w:sz w:val="18"/>
                <w:szCs w:val="24"/>
              </w:rPr>
              <w:t>համարը</w:t>
            </w:r>
            <w:proofErr w:type="spellEnd"/>
          </w:p>
        </w:tc>
        <w:tc>
          <w:tcPr>
            <w:tcW w:w="1843" w:type="dxa"/>
            <w:vMerge w:val="restart"/>
            <w:vAlign w:val="center"/>
          </w:tcPr>
          <w:p w:rsidR="0060554E" w:rsidRPr="0060554E" w:rsidRDefault="0060554E" w:rsidP="00012C1B">
            <w:pPr>
              <w:jc w:val="center"/>
              <w:rPr>
                <w:rFonts w:ascii="Sylfaen" w:hAnsi="Sylfaen"/>
                <w:sz w:val="18"/>
                <w:szCs w:val="24"/>
                <w:lang w:val="ru-RU"/>
              </w:rPr>
            </w:pPr>
            <w:proofErr w:type="spellStart"/>
            <w:r w:rsidRPr="0060554E">
              <w:rPr>
                <w:rFonts w:ascii="Sylfaen" w:hAnsi="Sylfaen" w:cs="Arial"/>
                <w:sz w:val="18"/>
                <w:szCs w:val="24"/>
                <w:lang w:val="ru-RU"/>
              </w:rPr>
              <w:t>անվանում</w:t>
            </w:r>
            <w:proofErr w:type="spellEnd"/>
          </w:p>
        </w:tc>
        <w:tc>
          <w:tcPr>
            <w:tcW w:w="3647" w:type="dxa"/>
            <w:vMerge w:val="restart"/>
            <w:vAlign w:val="center"/>
          </w:tcPr>
          <w:p w:rsidR="0060554E" w:rsidRPr="0060554E" w:rsidRDefault="0060554E" w:rsidP="00012C1B">
            <w:pPr>
              <w:jc w:val="center"/>
              <w:rPr>
                <w:rFonts w:ascii="Sylfaen" w:hAnsi="Sylfaen"/>
                <w:sz w:val="18"/>
                <w:szCs w:val="24"/>
              </w:rPr>
            </w:pPr>
            <w:proofErr w:type="spellStart"/>
            <w:r w:rsidRPr="0060554E">
              <w:rPr>
                <w:rFonts w:ascii="Sylfaen" w:hAnsi="Sylfaen" w:cs="Arial"/>
                <w:sz w:val="18"/>
                <w:szCs w:val="24"/>
              </w:rPr>
              <w:t>տեխնիկական</w:t>
            </w:r>
            <w:proofErr w:type="spellEnd"/>
            <w:r w:rsidRPr="0060554E">
              <w:rPr>
                <w:rFonts w:ascii="Sylfaen" w:hAnsi="Sylfaen"/>
                <w:sz w:val="18"/>
                <w:szCs w:val="24"/>
              </w:rPr>
              <w:t xml:space="preserve"> </w:t>
            </w:r>
            <w:proofErr w:type="spellStart"/>
            <w:r w:rsidRPr="0060554E">
              <w:rPr>
                <w:rFonts w:ascii="Sylfaen" w:hAnsi="Sylfaen" w:cs="Arial"/>
                <w:sz w:val="18"/>
                <w:szCs w:val="24"/>
              </w:rPr>
              <w:t>բնութագիրը</w:t>
            </w:r>
            <w:proofErr w:type="spellEnd"/>
          </w:p>
        </w:tc>
        <w:tc>
          <w:tcPr>
            <w:tcW w:w="990" w:type="dxa"/>
            <w:vMerge w:val="restart"/>
            <w:vAlign w:val="center"/>
          </w:tcPr>
          <w:p w:rsidR="0060554E" w:rsidRPr="0060554E" w:rsidRDefault="0060554E" w:rsidP="00012C1B">
            <w:pPr>
              <w:jc w:val="center"/>
              <w:rPr>
                <w:rFonts w:ascii="Sylfaen" w:hAnsi="Sylfaen"/>
                <w:sz w:val="18"/>
                <w:szCs w:val="24"/>
              </w:rPr>
            </w:pPr>
            <w:proofErr w:type="spellStart"/>
            <w:r w:rsidRPr="0060554E">
              <w:rPr>
                <w:rFonts w:ascii="Sylfaen" w:hAnsi="Sylfaen" w:cs="Arial"/>
                <w:sz w:val="18"/>
                <w:szCs w:val="24"/>
              </w:rPr>
              <w:t>չափման</w:t>
            </w:r>
            <w:proofErr w:type="spellEnd"/>
            <w:r w:rsidRPr="0060554E">
              <w:rPr>
                <w:rFonts w:ascii="Sylfaen" w:hAnsi="Sylfaen"/>
                <w:sz w:val="18"/>
                <w:szCs w:val="24"/>
              </w:rPr>
              <w:t xml:space="preserve"> </w:t>
            </w:r>
            <w:proofErr w:type="spellStart"/>
            <w:r w:rsidRPr="0060554E">
              <w:rPr>
                <w:rFonts w:ascii="Sylfaen" w:hAnsi="Sylfaen" w:cs="Arial"/>
                <w:sz w:val="18"/>
                <w:szCs w:val="24"/>
              </w:rPr>
              <w:t>միավորը</w:t>
            </w:r>
            <w:proofErr w:type="spellEnd"/>
          </w:p>
        </w:tc>
        <w:tc>
          <w:tcPr>
            <w:tcW w:w="749" w:type="dxa"/>
            <w:vMerge w:val="restart"/>
            <w:vAlign w:val="center"/>
          </w:tcPr>
          <w:p w:rsidR="0060554E" w:rsidRPr="0060554E" w:rsidRDefault="0060554E" w:rsidP="00012C1B">
            <w:pPr>
              <w:jc w:val="center"/>
              <w:rPr>
                <w:rFonts w:ascii="Sylfaen" w:hAnsi="Sylfaen"/>
                <w:sz w:val="18"/>
                <w:szCs w:val="24"/>
              </w:rPr>
            </w:pPr>
            <w:proofErr w:type="spellStart"/>
            <w:r w:rsidRPr="0060554E">
              <w:rPr>
                <w:rFonts w:ascii="Sylfaen" w:hAnsi="Sylfaen" w:cs="Arial"/>
                <w:sz w:val="18"/>
                <w:szCs w:val="24"/>
              </w:rPr>
              <w:t>ընդհանուր</w:t>
            </w:r>
            <w:proofErr w:type="spellEnd"/>
            <w:r w:rsidRPr="0060554E">
              <w:rPr>
                <w:rFonts w:ascii="Sylfaen" w:hAnsi="Sylfaen"/>
                <w:sz w:val="18"/>
                <w:szCs w:val="24"/>
              </w:rPr>
              <w:t xml:space="preserve"> </w:t>
            </w:r>
            <w:proofErr w:type="spellStart"/>
            <w:r w:rsidRPr="0060554E">
              <w:rPr>
                <w:rFonts w:ascii="Sylfaen" w:hAnsi="Sylfaen" w:cs="Arial"/>
                <w:sz w:val="18"/>
                <w:szCs w:val="24"/>
              </w:rPr>
              <w:t>քանակը</w:t>
            </w:r>
            <w:proofErr w:type="spellEnd"/>
          </w:p>
        </w:tc>
        <w:tc>
          <w:tcPr>
            <w:tcW w:w="3301" w:type="dxa"/>
            <w:gridSpan w:val="2"/>
            <w:vAlign w:val="center"/>
          </w:tcPr>
          <w:p w:rsidR="0060554E" w:rsidRPr="0060554E" w:rsidRDefault="0060554E" w:rsidP="00012C1B">
            <w:pPr>
              <w:jc w:val="center"/>
              <w:rPr>
                <w:rFonts w:ascii="Sylfaen" w:hAnsi="Sylfaen"/>
                <w:sz w:val="18"/>
                <w:szCs w:val="24"/>
                <w:lang w:val="ru-RU"/>
              </w:rPr>
            </w:pPr>
            <w:proofErr w:type="spellStart"/>
            <w:r w:rsidRPr="0060554E">
              <w:rPr>
                <w:rFonts w:ascii="Sylfaen" w:hAnsi="Sylfaen" w:cs="Arial"/>
                <w:sz w:val="18"/>
                <w:szCs w:val="24"/>
                <w:lang w:val="ru-RU"/>
              </w:rPr>
              <w:t>մատակարարման</w:t>
            </w:r>
            <w:proofErr w:type="spellEnd"/>
          </w:p>
        </w:tc>
      </w:tr>
      <w:tr w:rsidR="0060554E" w:rsidRPr="0060554E" w:rsidTr="0060554E">
        <w:trPr>
          <w:trHeight w:val="427"/>
        </w:trPr>
        <w:tc>
          <w:tcPr>
            <w:tcW w:w="1134" w:type="dxa"/>
            <w:vMerge/>
            <w:vAlign w:val="center"/>
          </w:tcPr>
          <w:p w:rsidR="0060554E" w:rsidRPr="0060554E" w:rsidRDefault="0060554E" w:rsidP="00012C1B">
            <w:pPr>
              <w:jc w:val="center"/>
              <w:rPr>
                <w:rFonts w:ascii="Sylfaen" w:hAnsi="Sylfaen"/>
                <w:sz w:val="18"/>
                <w:szCs w:val="24"/>
              </w:rPr>
            </w:pPr>
          </w:p>
        </w:tc>
        <w:tc>
          <w:tcPr>
            <w:tcW w:w="1843" w:type="dxa"/>
            <w:vMerge/>
            <w:vAlign w:val="center"/>
          </w:tcPr>
          <w:p w:rsidR="0060554E" w:rsidRPr="0060554E" w:rsidRDefault="0060554E" w:rsidP="00012C1B">
            <w:pPr>
              <w:jc w:val="center"/>
              <w:rPr>
                <w:rFonts w:ascii="Sylfaen" w:hAnsi="Sylfaen"/>
                <w:sz w:val="18"/>
                <w:szCs w:val="24"/>
              </w:rPr>
            </w:pPr>
          </w:p>
        </w:tc>
        <w:tc>
          <w:tcPr>
            <w:tcW w:w="3647" w:type="dxa"/>
            <w:vMerge/>
            <w:vAlign w:val="center"/>
          </w:tcPr>
          <w:p w:rsidR="0060554E" w:rsidRPr="0060554E" w:rsidRDefault="0060554E" w:rsidP="00012C1B">
            <w:pPr>
              <w:jc w:val="center"/>
              <w:rPr>
                <w:rFonts w:ascii="Sylfaen" w:hAnsi="Sylfaen"/>
                <w:sz w:val="18"/>
                <w:szCs w:val="24"/>
              </w:rPr>
            </w:pPr>
          </w:p>
        </w:tc>
        <w:tc>
          <w:tcPr>
            <w:tcW w:w="990" w:type="dxa"/>
            <w:vMerge/>
            <w:vAlign w:val="center"/>
          </w:tcPr>
          <w:p w:rsidR="0060554E" w:rsidRPr="0060554E" w:rsidRDefault="0060554E" w:rsidP="00012C1B">
            <w:pPr>
              <w:jc w:val="center"/>
              <w:rPr>
                <w:rFonts w:ascii="Sylfaen" w:hAnsi="Sylfaen"/>
                <w:sz w:val="18"/>
                <w:szCs w:val="24"/>
              </w:rPr>
            </w:pPr>
          </w:p>
        </w:tc>
        <w:tc>
          <w:tcPr>
            <w:tcW w:w="749" w:type="dxa"/>
            <w:vMerge/>
            <w:vAlign w:val="center"/>
          </w:tcPr>
          <w:p w:rsidR="0060554E" w:rsidRPr="0060554E" w:rsidRDefault="0060554E" w:rsidP="00012C1B">
            <w:pPr>
              <w:jc w:val="center"/>
              <w:rPr>
                <w:rFonts w:ascii="Sylfaen" w:hAnsi="Sylfaen"/>
                <w:sz w:val="18"/>
                <w:szCs w:val="24"/>
              </w:rPr>
            </w:pPr>
          </w:p>
        </w:tc>
        <w:tc>
          <w:tcPr>
            <w:tcW w:w="1560" w:type="dxa"/>
            <w:vAlign w:val="center"/>
          </w:tcPr>
          <w:p w:rsidR="0060554E" w:rsidRPr="0060554E" w:rsidRDefault="0060554E" w:rsidP="00012C1B">
            <w:pPr>
              <w:jc w:val="center"/>
              <w:rPr>
                <w:rFonts w:ascii="Sylfaen" w:hAnsi="Sylfaen"/>
                <w:sz w:val="18"/>
                <w:szCs w:val="24"/>
              </w:rPr>
            </w:pPr>
            <w:proofErr w:type="spellStart"/>
            <w:r w:rsidRPr="0060554E">
              <w:rPr>
                <w:rFonts w:ascii="Sylfaen" w:hAnsi="Sylfaen" w:cs="Arial"/>
                <w:sz w:val="18"/>
                <w:szCs w:val="24"/>
              </w:rPr>
              <w:t>հասցեն</w:t>
            </w:r>
            <w:proofErr w:type="spellEnd"/>
          </w:p>
        </w:tc>
        <w:tc>
          <w:tcPr>
            <w:tcW w:w="1741" w:type="dxa"/>
            <w:vAlign w:val="center"/>
          </w:tcPr>
          <w:p w:rsidR="0060554E" w:rsidRPr="0060554E" w:rsidRDefault="0060554E" w:rsidP="00012C1B">
            <w:pPr>
              <w:jc w:val="center"/>
              <w:rPr>
                <w:rFonts w:ascii="Sylfaen" w:hAnsi="Sylfaen"/>
                <w:sz w:val="18"/>
                <w:szCs w:val="24"/>
              </w:rPr>
            </w:pPr>
            <w:proofErr w:type="spellStart"/>
            <w:r w:rsidRPr="0060554E">
              <w:rPr>
                <w:rFonts w:ascii="Sylfaen" w:hAnsi="Sylfaen" w:cs="Arial"/>
                <w:sz w:val="18"/>
                <w:szCs w:val="24"/>
              </w:rPr>
              <w:t>Ժամկետը</w:t>
            </w:r>
            <w:proofErr w:type="spellEnd"/>
          </w:p>
        </w:tc>
      </w:tr>
      <w:tr w:rsidR="0060554E" w:rsidRPr="00877BE1" w:rsidTr="0060554E">
        <w:trPr>
          <w:trHeight w:val="1223"/>
        </w:trPr>
        <w:tc>
          <w:tcPr>
            <w:tcW w:w="1134" w:type="dxa"/>
            <w:vAlign w:val="center"/>
          </w:tcPr>
          <w:p w:rsidR="0060554E" w:rsidRPr="0060554E" w:rsidRDefault="0060554E" w:rsidP="00012C1B">
            <w:pPr>
              <w:jc w:val="center"/>
              <w:rPr>
                <w:rFonts w:ascii="Sylfaen" w:hAnsi="Sylfaen"/>
                <w:color w:val="262626" w:themeColor="text1" w:themeTint="D9"/>
                <w:sz w:val="16"/>
                <w:szCs w:val="24"/>
              </w:rPr>
            </w:pPr>
            <w:r w:rsidRPr="0060554E">
              <w:rPr>
                <w:rFonts w:ascii="Sylfaen" w:hAnsi="Sylfaen"/>
                <w:color w:val="262626" w:themeColor="text1" w:themeTint="D9"/>
                <w:sz w:val="16"/>
                <w:szCs w:val="24"/>
              </w:rPr>
              <w:t>1</w:t>
            </w:r>
          </w:p>
        </w:tc>
        <w:tc>
          <w:tcPr>
            <w:tcW w:w="1843" w:type="dxa"/>
            <w:vAlign w:val="center"/>
          </w:tcPr>
          <w:p w:rsidR="0060554E" w:rsidRPr="0060554E" w:rsidRDefault="0060554E" w:rsidP="00012C1B">
            <w:pPr>
              <w:pStyle w:val="ListParagraph"/>
              <w:ind w:left="72"/>
              <w:rPr>
                <w:rFonts w:ascii="Sylfaen" w:hAnsi="Sylfaen"/>
                <w:sz w:val="18"/>
                <w:szCs w:val="18"/>
                <w:lang w:val="hy-AM"/>
              </w:rPr>
            </w:pPr>
            <w:r w:rsidRPr="0060554E">
              <w:rPr>
                <w:rFonts w:ascii="Sylfaen" w:hAnsi="Sylfaen"/>
                <w:sz w:val="18"/>
                <w:szCs w:val="18"/>
                <w:lang w:val="hy-AM"/>
              </w:rPr>
              <w:t xml:space="preserve">Մուլտի էլեմենտ կալիբրման ստանդարտ խառնուրդ Agilent համատեղելի, AA և ICP-OES-ի  աշխատանքի համար, 18 էլեմենտ </w:t>
            </w:r>
          </w:p>
          <w:p w:rsidR="0060554E" w:rsidRPr="0060554E" w:rsidRDefault="0060554E" w:rsidP="00012C1B">
            <w:pPr>
              <w:pStyle w:val="ListParagraph"/>
              <w:ind w:left="72"/>
              <w:rPr>
                <w:rFonts w:ascii="Sylfaen" w:hAnsi="Sylfaen"/>
                <w:sz w:val="18"/>
                <w:szCs w:val="18"/>
                <w:lang w:val="hy-AM"/>
              </w:rPr>
            </w:pPr>
          </w:p>
          <w:p w:rsidR="0060554E" w:rsidRPr="0060554E" w:rsidRDefault="0060554E" w:rsidP="00012C1B">
            <w:pPr>
              <w:pStyle w:val="ListParagraph"/>
              <w:ind w:left="72"/>
              <w:rPr>
                <w:rFonts w:ascii="Sylfaen" w:hAnsi="Sylfaen"/>
                <w:sz w:val="18"/>
                <w:szCs w:val="18"/>
                <w:lang w:val="hy-AM"/>
              </w:rPr>
            </w:pPr>
            <w:r w:rsidRPr="0060554E">
              <w:rPr>
                <w:rFonts w:ascii="Sylfaen" w:hAnsi="Sylfaen"/>
                <w:sz w:val="18"/>
                <w:szCs w:val="18"/>
                <w:lang w:val="hy-AM"/>
              </w:rPr>
              <w:t xml:space="preserve">(Multi element calibration standards mix for Agilent </w:t>
            </w:r>
            <w:r w:rsidRPr="0060554E">
              <w:rPr>
                <w:rFonts w:ascii="Sylfaen" w:hAnsi="Sylfaen"/>
                <w:sz w:val="18"/>
                <w:szCs w:val="18"/>
              </w:rPr>
              <w:t xml:space="preserve">Compatible AA </w:t>
            </w:r>
            <w:r w:rsidRPr="0060554E">
              <w:rPr>
                <w:rFonts w:ascii="Sylfaen" w:hAnsi="Sylfaen"/>
                <w:sz w:val="18"/>
                <w:szCs w:val="18"/>
                <w:lang w:val="ru-RU"/>
              </w:rPr>
              <w:t>и</w:t>
            </w:r>
            <w:r w:rsidRPr="0060554E">
              <w:rPr>
                <w:rFonts w:ascii="Sylfaen" w:hAnsi="Sylfaen"/>
                <w:sz w:val="18"/>
                <w:szCs w:val="18"/>
              </w:rPr>
              <w:t xml:space="preserve"> </w:t>
            </w:r>
            <w:r w:rsidRPr="0060554E">
              <w:rPr>
                <w:rFonts w:ascii="Sylfaen" w:hAnsi="Sylfaen"/>
                <w:sz w:val="18"/>
                <w:szCs w:val="18"/>
                <w:lang w:val="hy-AM"/>
              </w:rPr>
              <w:t>ICP-OES)</w:t>
            </w:r>
          </w:p>
        </w:tc>
        <w:tc>
          <w:tcPr>
            <w:tcW w:w="3647" w:type="dxa"/>
            <w:vAlign w:val="center"/>
          </w:tcPr>
          <w:p w:rsidR="0060554E" w:rsidRPr="0060554E" w:rsidRDefault="0060554E" w:rsidP="00012C1B">
            <w:pPr>
              <w:shd w:val="clear" w:color="auto" w:fill="FFFFFF"/>
              <w:spacing w:line="0" w:lineRule="auto"/>
              <w:rPr>
                <w:rFonts w:ascii="Sylfaen" w:hAnsi="Sylfaen"/>
                <w:sz w:val="18"/>
                <w:szCs w:val="18"/>
                <w:lang w:val="hy-AM"/>
              </w:rPr>
            </w:pPr>
            <w:r w:rsidRPr="0060554E">
              <w:rPr>
                <w:rFonts w:ascii="Sylfaen" w:hAnsi="Sylfaen"/>
                <w:sz w:val="18"/>
                <w:szCs w:val="18"/>
                <w:lang w:val="hy-AM"/>
              </w:rPr>
              <w:t>CAS Number:</w:t>
            </w:r>
          </w:p>
          <w:p w:rsidR="0060554E" w:rsidRPr="0060554E" w:rsidRDefault="00877BE1" w:rsidP="00012C1B">
            <w:pPr>
              <w:shd w:val="clear" w:color="auto" w:fill="FFFFFF"/>
              <w:spacing w:line="0" w:lineRule="auto"/>
              <w:rPr>
                <w:rFonts w:ascii="Sylfaen" w:hAnsi="Sylfaen"/>
                <w:sz w:val="18"/>
                <w:szCs w:val="18"/>
                <w:lang w:val="hy-AM"/>
              </w:rPr>
            </w:pPr>
            <w:hyperlink r:id="rId4" w:history="1">
              <w:r w:rsidR="0060554E" w:rsidRPr="0060554E">
                <w:rPr>
                  <w:rFonts w:ascii="Sylfaen" w:hAnsi="Sylfaen"/>
                  <w:sz w:val="18"/>
                  <w:szCs w:val="18"/>
                  <w:lang w:val="hy-AM"/>
                </w:rPr>
                <w:t>77-58-7</w:t>
              </w:r>
            </w:hyperlink>
          </w:p>
          <w:p w:rsidR="0060554E" w:rsidRPr="0060554E" w:rsidRDefault="0060554E" w:rsidP="00012C1B">
            <w:pPr>
              <w:shd w:val="clear" w:color="auto" w:fill="FFFFFF"/>
              <w:spacing w:line="0" w:lineRule="auto"/>
              <w:rPr>
                <w:rFonts w:ascii="Sylfaen" w:hAnsi="Sylfaen"/>
                <w:sz w:val="18"/>
                <w:szCs w:val="18"/>
                <w:lang w:val="hy-AM"/>
              </w:rPr>
            </w:pPr>
            <w:r w:rsidRPr="0060554E">
              <w:rPr>
                <w:rFonts w:ascii="Sylfaen" w:hAnsi="Sylfaen"/>
                <w:sz w:val="18"/>
                <w:szCs w:val="18"/>
                <w:lang w:val="hy-AM"/>
              </w:rPr>
              <w:t>CAS Number:</w:t>
            </w:r>
          </w:p>
          <w:p w:rsidR="0060554E" w:rsidRPr="0060554E" w:rsidRDefault="00877BE1" w:rsidP="00012C1B">
            <w:pPr>
              <w:shd w:val="clear" w:color="auto" w:fill="FFFFFF"/>
              <w:spacing w:line="0" w:lineRule="auto"/>
              <w:rPr>
                <w:rFonts w:ascii="Sylfaen" w:hAnsi="Sylfaen"/>
                <w:sz w:val="18"/>
                <w:szCs w:val="18"/>
                <w:lang w:val="hy-AM"/>
              </w:rPr>
            </w:pPr>
            <w:hyperlink r:id="rId5" w:history="1">
              <w:r w:rsidR="0060554E" w:rsidRPr="0060554E">
                <w:rPr>
                  <w:rFonts w:ascii="Sylfaen" w:hAnsi="Sylfaen"/>
                  <w:sz w:val="18"/>
                  <w:szCs w:val="18"/>
                  <w:lang w:val="hy-AM"/>
                </w:rPr>
                <w:t>77-58-7</w:t>
              </w:r>
            </w:hyperlink>
          </w:p>
          <w:p w:rsidR="0060554E" w:rsidRPr="0060554E" w:rsidRDefault="0060554E" w:rsidP="00012C1B">
            <w:pPr>
              <w:shd w:val="clear" w:color="auto" w:fill="FFFFFF"/>
              <w:spacing w:line="0" w:lineRule="auto"/>
              <w:rPr>
                <w:rFonts w:ascii="Sylfaen" w:hAnsi="Sylfaen"/>
                <w:sz w:val="18"/>
                <w:szCs w:val="18"/>
                <w:lang w:val="hy-AM"/>
              </w:rPr>
            </w:pPr>
            <w:r w:rsidRPr="0060554E">
              <w:rPr>
                <w:rFonts w:ascii="Sylfaen" w:hAnsi="Sylfaen"/>
                <w:sz w:val="18"/>
                <w:szCs w:val="18"/>
                <w:lang w:val="hy-AM"/>
              </w:rPr>
              <w:t>CAS Number:</w:t>
            </w:r>
          </w:p>
          <w:p w:rsidR="0060554E" w:rsidRPr="0060554E" w:rsidRDefault="00877BE1" w:rsidP="00012C1B">
            <w:pPr>
              <w:shd w:val="clear" w:color="auto" w:fill="FFFFFF"/>
              <w:spacing w:line="0" w:lineRule="auto"/>
              <w:rPr>
                <w:rFonts w:ascii="Sylfaen" w:hAnsi="Sylfaen"/>
                <w:sz w:val="18"/>
                <w:szCs w:val="18"/>
                <w:lang w:val="hy-AM"/>
              </w:rPr>
            </w:pPr>
            <w:r>
              <w:fldChar w:fldCharType="begin"/>
            </w:r>
            <w:r w:rsidRPr="00877BE1">
              <w:rPr>
                <w:lang w:val="hy-AM"/>
              </w:rPr>
              <w:instrText xml:space="preserve"> HYPERLINK "https://www.sigmaaldrich.com/AM/en/search/77-58-7?focus=products&amp;page=1&amp;perpage=30&amp;sort=relevance&amp;term=77-58-7&amp;type=cas_number" </w:instrText>
            </w:r>
            <w:r>
              <w:fldChar w:fldCharType="separate"/>
            </w:r>
            <w:r w:rsidR="0060554E" w:rsidRPr="0060554E">
              <w:rPr>
                <w:rFonts w:ascii="Sylfaen" w:hAnsi="Sylfaen"/>
                <w:sz w:val="18"/>
                <w:szCs w:val="18"/>
                <w:lang w:val="hy-AM"/>
              </w:rPr>
              <w:t>77-58-7</w:t>
            </w:r>
            <w:r>
              <w:rPr>
                <w:rFonts w:ascii="Sylfaen" w:hAnsi="Sylfaen"/>
                <w:sz w:val="18"/>
                <w:szCs w:val="18"/>
                <w:lang w:val="hy-AM"/>
              </w:rPr>
              <w:fldChar w:fldCharType="end"/>
            </w:r>
          </w:p>
          <w:p w:rsidR="0060554E" w:rsidRPr="0060554E" w:rsidRDefault="0060554E" w:rsidP="00012C1B">
            <w:pPr>
              <w:pStyle w:val="Heading1"/>
              <w:shd w:val="clear" w:color="auto" w:fill="FFFFFF"/>
              <w:spacing w:before="0"/>
              <w:textAlignment w:val="baseline"/>
              <w:rPr>
                <w:rFonts w:ascii="Sylfaen" w:eastAsia="Times New Roman" w:hAnsi="Sylfaen" w:cs="Times New Roman"/>
                <w:color w:val="auto"/>
                <w:sz w:val="18"/>
                <w:szCs w:val="18"/>
                <w:lang w:val="hy-AM" w:eastAsia="ru-RU"/>
              </w:rPr>
            </w:pPr>
            <w:r w:rsidRPr="0060554E">
              <w:rPr>
                <w:rFonts w:ascii="Sylfaen" w:eastAsia="Times New Roman" w:hAnsi="Sylfaen" w:cs="Times New Roman"/>
                <w:color w:val="auto"/>
                <w:sz w:val="18"/>
                <w:szCs w:val="18"/>
                <w:lang w:val="hy-AM" w:eastAsia="ru-RU"/>
              </w:rPr>
              <w:t>Ստանդարտ կալիբրման միքս 2  AA և ICP-OES-ի համար Agilent համատեղելի 6610030600,</w:t>
            </w:r>
          </w:p>
          <w:p w:rsidR="0060554E" w:rsidRPr="0060554E" w:rsidRDefault="0060554E" w:rsidP="00012C1B">
            <w:pPr>
              <w:rPr>
                <w:rFonts w:ascii="Sylfaen" w:hAnsi="Sylfaen"/>
                <w:sz w:val="18"/>
                <w:szCs w:val="18"/>
                <w:lang w:val="hy-AM"/>
              </w:rPr>
            </w:pPr>
            <w:r w:rsidRPr="0060554E">
              <w:rPr>
                <w:rFonts w:ascii="Sylfaen" w:hAnsi="Sylfaen"/>
                <w:sz w:val="18"/>
                <w:szCs w:val="18"/>
                <w:lang w:val="hy-AM"/>
              </w:rPr>
              <w:t>ISO 17034 սերտիֆիկատ CRM,</w:t>
            </w:r>
          </w:p>
          <w:p w:rsidR="0060554E" w:rsidRPr="0060554E" w:rsidRDefault="0060554E" w:rsidP="00012C1B">
            <w:pPr>
              <w:pStyle w:val="Heading1"/>
              <w:shd w:val="clear" w:color="auto" w:fill="FFFFFF"/>
              <w:spacing w:before="0"/>
              <w:textAlignment w:val="baseline"/>
              <w:rPr>
                <w:rFonts w:ascii="Sylfaen" w:eastAsia="Times New Roman" w:hAnsi="Sylfaen" w:cs="Times New Roman"/>
                <w:color w:val="auto"/>
                <w:sz w:val="18"/>
                <w:szCs w:val="18"/>
                <w:lang w:eastAsia="ru-RU"/>
              </w:rPr>
            </w:pPr>
            <w:r w:rsidRPr="0060554E">
              <w:rPr>
                <w:rFonts w:ascii="Sylfaen" w:eastAsia="Times New Roman" w:hAnsi="Sylfaen" w:cs="Times New Roman"/>
                <w:color w:val="auto"/>
                <w:sz w:val="18"/>
                <w:szCs w:val="18"/>
                <w:lang w:val="hy-AM" w:eastAsia="ru-RU"/>
              </w:rPr>
              <w:t>18 էլեմենտ: Aluminum (Al), Arsenic (As), Barium (Ba), Beryllium (Be), Cadmium (Cd), Cobalt (Co), Chromium (Cr), Copper (Cu), Manganese (Mn), Nickel (Ni), Lead (Pb), Selenium (Se), Silver (Ag), Thallium (Tl), Thorium (Th), Uranium (U), Vanadium (V), Zinc (Zn).</w:t>
            </w:r>
            <w:r w:rsidRPr="0060554E">
              <w:rPr>
                <w:rFonts w:ascii="Sylfaen" w:eastAsia="Times New Roman" w:hAnsi="Sylfaen" w:cs="Times New Roman"/>
                <w:color w:val="auto"/>
                <w:sz w:val="18"/>
                <w:szCs w:val="18"/>
                <w:lang w:eastAsia="ru-RU"/>
              </w:rPr>
              <w:t xml:space="preserve"> </w:t>
            </w:r>
          </w:p>
          <w:p w:rsidR="0060554E" w:rsidRPr="0060554E" w:rsidRDefault="0060554E" w:rsidP="00012C1B">
            <w:pPr>
              <w:pStyle w:val="Heading1"/>
              <w:shd w:val="clear" w:color="auto" w:fill="FFFFFF"/>
              <w:spacing w:before="0"/>
              <w:textAlignment w:val="baseline"/>
              <w:rPr>
                <w:rFonts w:ascii="Sylfaen" w:eastAsia="Times New Roman" w:hAnsi="Sylfaen" w:cs="Times New Roman"/>
                <w:color w:val="auto"/>
                <w:sz w:val="18"/>
                <w:szCs w:val="18"/>
                <w:lang w:val="hy-AM" w:eastAsia="ru-RU"/>
              </w:rPr>
            </w:pPr>
            <w:r w:rsidRPr="0060554E">
              <w:rPr>
                <w:rFonts w:ascii="Sylfaen" w:eastAsia="Times New Roman" w:hAnsi="Sylfaen" w:cs="Times New Roman"/>
                <w:color w:val="auto"/>
                <w:sz w:val="18"/>
                <w:szCs w:val="18"/>
                <w:lang w:val="hy-AM" w:eastAsia="ru-RU"/>
              </w:rPr>
              <w:t xml:space="preserve">յուրաքանչյուրը՝ 100ppm կոնցենտրացիայով։ Մատրիքսը՝ </w:t>
            </w:r>
            <w:r w:rsidRPr="0060554E">
              <w:rPr>
                <w:rFonts w:ascii="Sylfaen" w:eastAsia="Times New Roman" w:hAnsi="Sylfaen" w:cs="Times New Roman"/>
                <w:color w:val="auto"/>
                <w:sz w:val="18"/>
                <w:szCs w:val="18"/>
                <w:lang w:eastAsia="ru-RU"/>
              </w:rPr>
              <w:t xml:space="preserve">5% </w:t>
            </w:r>
            <w:r w:rsidRPr="0060554E">
              <w:rPr>
                <w:rFonts w:ascii="Sylfaen" w:eastAsia="Times New Roman" w:hAnsi="Sylfaen" w:cs="Times New Roman"/>
                <w:color w:val="auto"/>
                <w:sz w:val="18"/>
                <w:szCs w:val="18"/>
                <w:lang w:val="hy-AM" w:eastAsia="ru-RU"/>
              </w:rPr>
              <w:t>ազոտական թթու։</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Ծավալը՝ 125 մլ, պոլիէթիլենային շիշ։</w:t>
            </w:r>
          </w:p>
          <w:p w:rsidR="0060554E" w:rsidRPr="0060554E" w:rsidRDefault="0060554E" w:rsidP="00012C1B">
            <w:pPr>
              <w:ind w:right="34"/>
              <w:rPr>
                <w:rFonts w:ascii="Sylfaen" w:hAnsi="Sylfaen"/>
                <w:sz w:val="18"/>
                <w:szCs w:val="18"/>
                <w:lang w:val="hy-AM"/>
              </w:rPr>
            </w:pPr>
          </w:p>
          <w:p w:rsidR="0060554E" w:rsidRPr="0060554E" w:rsidRDefault="0060554E" w:rsidP="00012C1B">
            <w:pPr>
              <w:rPr>
                <w:rFonts w:ascii="Sylfaen" w:hAnsi="Sylfaen"/>
                <w:sz w:val="18"/>
                <w:szCs w:val="18"/>
              </w:rPr>
            </w:pPr>
            <w:r w:rsidRPr="0060554E">
              <w:rPr>
                <w:rFonts w:ascii="Sylfaen" w:hAnsi="Sylfaen"/>
                <w:sz w:val="18"/>
                <w:szCs w:val="18"/>
                <w:lang w:val="hy-AM"/>
              </w:rPr>
              <w:t xml:space="preserve">Calibration </w:t>
            </w:r>
            <w:r w:rsidRPr="0060554E">
              <w:rPr>
                <w:rFonts w:ascii="Sylfaen" w:hAnsi="Sylfaen"/>
                <w:sz w:val="18"/>
                <w:szCs w:val="18"/>
              </w:rPr>
              <w:t xml:space="preserve">standards </w:t>
            </w:r>
            <w:r w:rsidRPr="0060554E">
              <w:rPr>
                <w:rFonts w:ascii="Sylfaen" w:hAnsi="Sylfaen"/>
                <w:sz w:val="18"/>
                <w:szCs w:val="18"/>
                <w:lang w:val="hy-AM"/>
              </w:rPr>
              <w:t>Mix 2 for A</w:t>
            </w:r>
            <w:proofErr w:type="spellStart"/>
            <w:r w:rsidRPr="0060554E">
              <w:rPr>
                <w:rFonts w:ascii="Sylfaen" w:hAnsi="Sylfaen"/>
                <w:sz w:val="18"/>
                <w:szCs w:val="18"/>
              </w:rPr>
              <w:t>tomic</w:t>
            </w:r>
            <w:proofErr w:type="spellEnd"/>
            <w:r w:rsidRPr="0060554E">
              <w:rPr>
                <w:rFonts w:ascii="Sylfaen" w:hAnsi="Sylfaen"/>
                <w:sz w:val="18"/>
                <w:szCs w:val="18"/>
              </w:rPr>
              <w:t xml:space="preserve"> absorption</w:t>
            </w:r>
            <w:r w:rsidRPr="0060554E">
              <w:rPr>
                <w:rFonts w:ascii="Sylfaen" w:hAnsi="Sylfaen"/>
                <w:sz w:val="18"/>
                <w:szCs w:val="18"/>
                <w:lang w:val="hy-AM"/>
              </w:rPr>
              <w:t xml:space="preserve"> and ICP-OES. ISO 17034 </w:t>
            </w:r>
            <w:r w:rsidRPr="0060554E">
              <w:rPr>
                <w:rFonts w:ascii="Sylfaen" w:hAnsi="Sylfaen"/>
                <w:sz w:val="18"/>
                <w:szCs w:val="18"/>
              </w:rPr>
              <w:t>certificate</w:t>
            </w:r>
            <w:r w:rsidRPr="0060554E">
              <w:rPr>
                <w:rFonts w:ascii="Sylfaen" w:hAnsi="Sylfaen"/>
                <w:sz w:val="18"/>
                <w:szCs w:val="18"/>
                <w:lang w:val="hy-AM"/>
              </w:rPr>
              <w:t xml:space="preserve"> CRM</w:t>
            </w:r>
            <w:r w:rsidRPr="0060554E">
              <w:rPr>
                <w:rFonts w:ascii="Sylfaen" w:hAnsi="Sylfaen"/>
                <w:sz w:val="18"/>
                <w:szCs w:val="18"/>
              </w:rPr>
              <w:t xml:space="preserve">, </w:t>
            </w:r>
            <w:r w:rsidRPr="0060554E">
              <w:rPr>
                <w:rFonts w:ascii="Sylfaen" w:hAnsi="Sylfaen"/>
                <w:sz w:val="18"/>
                <w:szCs w:val="18"/>
                <w:lang w:val="hy-AM"/>
              </w:rPr>
              <w:t xml:space="preserve">Agilent </w:t>
            </w:r>
            <w:r w:rsidRPr="0060554E">
              <w:rPr>
                <w:rFonts w:ascii="Sylfaen" w:hAnsi="Sylfaen"/>
                <w:sz w:val="18"/>
                <w:szCs w:val="18"/>
              </w:rPr>
              <w:t>Compatible</w:t>
            </w:r>
            <w:r w:rsidRPr="0060554E">
              <w:rPr>
                <w:rFonts w:ascii="Sylfaen" w:hAnsi="Sylfaen"/>
                <w:sz w:val="18"/>
                <w:szCs w:val="18"/>
                <w:lang w:val="hy-AM"/>
              </w:rPr>
              <w:t xml:space="preserve"> 6610030600</w:t>
            </w:r>
            <w:r w:rsidRPr="0060554E">
              <w:rPr>
                <w:rFonts w:ascii="Sylfaen" w:hAnsi="Sylfaen"/>
                <w:sz w:val="18"/>
                <w:szCs w:val="18"/>
              </w:rPr>
              <w:t xml:space="preserve">, </w:t>
            </w:r>
          </w:p>
          <w:p w:rsidR="0060554E" w:rsidRPr="0060554E" w:rsidRDefault="0060554E" w:rsidP="00012C1B">
            <w:pPr>
              <w:ind w:left="34" w:right="34"/>
              <w:rPr>
                <w:rFonts w:ascii="Sylfaen" w:hAnsi="Sylfaen"/>
                <w:sz w:val="18"/>
                <w:szCs w:val="18"/>
              </w:rPr>
            </w:pPr>
            <w:r w:rsidRPr="0060554E">
              <w:rPr>
                <w:rFonts w:ascii="Sylfaen" w:hAnsi="Sylfaen"/>
                <w:sz w:val="18"/>
                <w:szCs w:val="18"/>
              </w:rPr>
              <w:t>18</w:t>
            </w:r>
            <w:r w:rsidRPr="0060554E">
              <w:rPr>
                <w:rFonts w:ascii="Sylfaen" w:hAnsi="Sylfaen"/>
                <w:sz w:val="18"/>
                <w:szCs w:val="18"/>
                <w:lang w:val="hy-AM"/>
              </w:rPr>
              <w:t xml:space="preserve"> </w:t>
            </w:r>
            <w:r w:rsidRPr="0060554E">
              <w:rPr>
                <w:rFonts w:ascii="Sylfaen" w:hAnsi="Sylfaen"/>
                <w:sz w:val="18"/>
                <w:szCs w:val="18"/>
              </w:rPr>
              <w:t xml:space="preserve">elements: </w:t>
            </w:r>
            <w:r w:rsidRPr="0060554E">
              <w:rPr>
                <w:rFonts w:ascii="Sylfaen" w:hAnsi="Sylfaen"/>
                <w:sz w:val="18"/>
                <w:szCs w:val="18"/>
                <w:lang w:val="hy-AM"/>
              </w:rPr>
              <w:t>Ag, Al, As, Ba, Be, Cd, Co, Cr, Cu, Mn, Ni, Pb, Se,</w:t>
            </w:r>
            <w:r w:rsidRPr="0060554E">
              <w:rPr>
                <w:rFonts w:ascii="Sylfaen" w:hAnsi="Sylfaen"/>
                <w:sz w:val="18"/>
                <w:szCs w:val="18"/>
              </w:rPr>
              <w:t xml:space="preserve"> </w:t>
            </w:r>
            <w:r w:rsidRPr="0060554E">
              <w:rPr>
                <w:rFonts w:ascii="Sylfaen" w:hAnsi="Sylfaen"/>
                <w:sz w:val="18"/>
                <w:szCs w:val="18"/>
                <w:lang w:val="hy-AM"/>
              </w:rPr>
              <w:t>Tl, Th, U, V and Zn</w:t>
            </w:r>
            <w:r w:rsidRPr="0060554E">
              <w:rPr>
                <w:rFonts w:ascii="Sylfaen" w:hAnsi="Sylfaen"/>
                <w:sz w:val="18"/>
                <w:szCs w:val="18"/>
              </w:rPr>
              <w:t xml:space="preserve"> </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100 mg/L</w:t>
            </w:r>
            <w:r w:rsidRPr="0060554E">
              <w:rPr>
                <w:rFonts w:ascii="Sylfaen" w:hAnsi="Sylfaen"/>
                <w:sz w:val="18"/>
                <w:szCs w:val="18"/>
              </w:rPr>
              <w:t xml:space="preserve">, </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rPr>
              <w:t xml:space="preserve">Matrix: </w:t>
            </w:r>
            <w:r w:rsidRPr="0060554E">
              <w:rPr>
                <w:rFonts w:ascii="Sylfaen" w:hAnsi="Sylfaen"/>
                <w:sz w:val="18"/>
                <w:szCs w:val="18"/>
                <w:lang w:val="hy-AM"/>
              </w:rPr>
              <w:t>5% HNO</w:t>
            </w:r>
            <w:r w:rsidRPr="0060554E">
              <w:rPr>
                <w:rFonts w:ascii="Sylfaen" w:hAnsi="Sylfaen"/>
                <w:sz w:val="18"/>
                <w:szCs w:val="18"/>
                <w:vertAlign w:val="subscript"/>
                <w:lang w:val="hy-AM"/>
              </w:rPr>
              <w:t>3</w:t>
            </w:r>
            <w:r w:rsidRPr="0060554E">
              <w:rPr>
                <w:rFonts w:ascii="Sylfaen" w:hAnsi="Sylfaen"/>
                <w:sz w:val="18"/>
                <w:szCs w:val="18"/>
                <w:vertAlign w:val="subscript"/>
              </w:rPr>
              <w:t>,</w:t>
            </w:r>
            <w:r w:rsidRPr="0060554E">
              <w:rPr>
                <w:rFonts w:ascii="Sylfaen" w:hAnsi="Sylfaen"/>
                <w:sz w:val="18"/>
                <w:szCs w:val="18"/>
              </w:rPr>
              <w:t xml:space="preserve"> 125 ml</w:t>
            </w:r>
          </w:p>
        </w:tc>
        <w:tc>
          <w:tcPr>
            <w:tcW w:w="990"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հատ</w:t>
            </w:r>
          </w:p>
        </w:tc>
        <w:tc>
          <w:tcPr>
            <w:tcW w:w="749"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1</w:t>
            </w:r>
          </w:p>
        </w:tc>
        <w:tc>
          <w:tcPr>
            <w:tcW w:w="1560" w:type="dxa"/>
            <w:vAlign w:val="center"/>
          </w:tcPr>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ՀՀ ք. Երևան, Մանուկյան 1, թիվ 1-ին մասնաշենք</w:t>
            </w:r>
          </w:p>
        </w:tc>
        <w:tc>
          <w:tcPr>
            <w:tcW w:w="1741" w:type="dxa"/>
            <w:vAlign w:val="center"/>
          </w:tcPr>
          <w:p w:rsidR="0060554E" w:rsidRPr="0060554E" w:rsidRDefault="0060554E" w:rsidP="00012C1B">
            <w:pPr>
              <w:spacing w:after="300"/>
              <w:jc w:val="center"/>
              <w:rPr>
                <w:rFonts w:ascii="Sylfaen" w:hAnsi="Sylfaen"/>
                <w:sz w:val="18"/>
                <w:lang w:val="hy-AM"/>
              </w:rPr>
            </w:pPr>
            <w:r w:rsidRPr="0060554E">
              <w:rPr>
                <w:rFonts w:ascii="Sylfaen" w:hAnsi="Sylfaen"/>
                <w:sz w:val="18"/>
                <w:lang w:val="hy-AM"/>
              </w:rPr>
              <w:t>Պայմանագիրն ուժի մեջ մտնելու օրվանից հաշված առավելագույնը մինչև 2025 դեկտեմբերի 25:</w:t>
            </w:r>
          </w:p>
        </w:tc>
      </w:tr>
      <w:tr w:rsidR="0060554E" w:rsidRPr="00877BE1" w:rsidTr="0060554E">
        <w:trPr>
          <w:trHeight w:val="1223"/>
        </w:trPr>
        <w:tc>
          <w:tcPr>
            <w:tcW w:w="1134" w:type="dxa"/>
            <w:vAlign w:val="center"/>
          </w:tcPr>
          <w:p w:rsidR="0060554E" w:rsidRPr="0060554E" w:rsidRDefault="0060554E" w:rsidP="00012C1B">
            <w:pPr>
              <w:jc w:val="center"/>
              <w:rPr>
                <w:rFonts w:ascii="Sylfaen" w:hAnsi="Sylfaen"/>
                <w:color w:val="262626" w:themeColor="text1" w:themeTint="D9"/>
                <w:sz w:val="16"/>
                <w:szCs w:val="24"/>
              </w:rPr>
            </w:pPr>
            <w:r w:rsidRPr="0060554E">
              <w:rPr>
                <w:rFonts w:ascii="Sylfaen" w:hAnsi="Sylfaen"/>
                <w:color w:val="262626" w:themeColor="text1" w:themeTint="D9"/>
                <w:sz w:val="16"/>
                <w:szCs w:val="24"/>
              </w:rPr>
              <w:t>2</w:t>
            </w:r>
          </w:p>
        </w:tc>
        <w:tc>
          <w:tcPr>
            <w:tcW w:w="1843" w:type="dxa"/>
            <w:vAlign w:val="center"/>
          </w:tcPr>
          <w:p w:rsidR="0060554E" w:rsidRPr="0060554E" w:rsidRDefault="0060554E" w:rsidP="00012C1B">
            <w:pPr>
              <w:pStyle w:val="ListParagraph"/>
              <w:ind w:left="72"/>
              <w:rPr>
                <w:rFonts w:ascii="Sylfaen" w:hAnsi="Sylfaen"/>
                <w:sz w:val="18"/>
                <w:szCs w:val="18"/>
                <w:lang w:val="hy-AM"/>
              </w:rPr>
            </w:pPr>
            <w:r w:rsidRPr="0060554E">
              <w:rPr>
                <w:rFonts w:ascii="Sylfaen" w:hAnsi="Sylfaen"/>
                <w:sz w:val="18"/>
                <w:szCs w:val="18"/>
                <w:lang w:val="hy-AM"/>
              </w:rPr>
              <w:t xml:space="preserve">Մուլտի էլեմենտ կալիբրման ստանդարտ խառնուրդ Agilent համատեղելի, AA և ICP-OES-ի  աշխատանքի համար, 5 էլեմենտ </w:t>
            </w:r>
          </w:p>
          <w:p w:rsidR="0060554E" w:rsidRPr="0060554E" w:rsidRDefault="0060554E" w:rsidP="00012C1B">
            <w:pPr>
              <w:pStyle w:val="ListParagraph"/>
              <w:ind w:left="72"/>
              <w:rPr>
                <w:rFonts w:ascii="Sylfaen" w:hAnsi="Sylfaen"/>
                <w:sz w:val="18"/>
                <w:szCs w:val="18"/>
                <w:lang w:val="hy-AM"/>
              </w:rPr>
            </w:pPr>
          </w:p>
          <w:p w:rsidR="0060554E" w:rsidRPr="0060554E" w:rsidRDefault="0060554E" w:rsidP="00012C1B">
            <w:pPr>
              <w:shd w:val="clear" w:color="auto" w:fill="FFFFFF"/>
              <w:spacing w:after="120"/>
              <w:ind w:right="120"/>
              <w:outlineLvl w:val="0"/>
              <w:rPr>
                <w:rFonts w:ascii="Sylfaen" w:hAnsi="Sylfaen" w:cs="Segoe UI"/>
                <w:bCs/>
                <w:color w:val="000000"/>
                <w:spacing w:val="6"/>
                <w:kern w:val="36"/>
                <w:sz w:val="18"/>
                <w:szCs w:val="18"/>
                <w:lang w:val="hy-AM"/>
              </w:rPr>
            </w:pPr>
            <w:r w:rsidRPr="0060554E">
              <w:rPr>
                <w:rFonts w:ascii="Sylfaen" w:hAnsi="Sylfaen"/>
                <w:sz w:val="18"/>
                <w:szCs w:val="18"/>
                <w:lang w:val="hy-AM"/>
              </w:rPr>
              <w:t xml:space="preserve">(Multi element calibration standards mix for Agilent </w:t>
            </w:r>
            <w:r w:rsidRPr="0060554E">
              <w:rPr>
                <w:rFonts w:ascii="Sylfaen" w:hAnsi="Sylfaen"/>
                <w:sz w:val="18"/>
                <w:szCs w:val="18"/>
              </w:rPr>
              <w:t xml:space="preserve">Compatible AA </w:t>
            </w:r>
            <w:r w:rsidRPr="0060554E">
              <w:rPr>
                <w:rFonts w:ascii="Sylfaen" w:hAnsi="Sylfaen"/>
                <w:sz w:val="18"/>
                <w:szCs w:val="18"/>
                <w:lang w:val="ru-RU"/>
              </w:rPr>
              <w:t>и</w:t>
            </w:r>
            <w:r w:rsidRPr="0060554E">
              <w:rPr>
                <w:rFonts w:ascii="Sylfaen" w:hAnsi="Sylfaen"/>
                <w:sz w:val="18"/>
                <w:szCs w:val="18"/>
              </w:rPr>
              <w:t xml:space="preserve"> </w:t>
            </w:r>
            <w:r w:rsidRPr="0060554E">
              <w:rPr>
                <w:rFonts w:ascii="Sylfaen" w:hAnsi="Sylfaen"/>
                <w:sz w:val="18"/>
                <w:szCs w:val="18"/>
                <w:lang w:val="hy-AM"/>
              </w:rPr>
              <w:t>ICP-OES</w:t>
            </w:r>
            <w:r w:rsidRPr="0060554E">
              <w:rPr>
                <w:rFonts w:ascii="Sylfaen" w:hAnsi="Sylfaen"/>
                <w:sz w:val="18"/>
                <w:szCs w:val="18"/>
              </w:rPr>
              <w:t>, 5 element</w:t>
            </w:r>
            <w:r w:rsidRPr="0060554E">
              <w:rPr>
                <w:rFonts w:ascii="Sylfaen" w:hAnsi="Sylfaen"/>
                <w:sz w:val="18"/>
                <w:szCs w:val="18"/>
                <w:lang w:val="hy-AM"/>
              </w:rPr>
              <w:t>)</w:t>
            </w:r>
          </w:p>
        </w:tc>
        <w:tc>
          <w:tcPr>
            <w:tcW w:w="3647" w:type="dxa"/>
            <w:vAlign w:val="center"/>
          </w:tcPr>
          <w:p w:rsidR="0060554E" w:rsidRPr="0060554E" w:rsidRDefault="0060554E" w:rsidP="00012C1B">
            <w:pPr>
              <w:pStyle w:val="Heading1"/>
              <w:shd w:val="clear" w:color="auto" w:fill="FFFFFF"/>
              <w:spacing w:before="0"/>
              <w:textAlignment w:val="baseline"/>
              <w:rPr>
                <w:rFonts w:ascii="Sylfaen" w:eastAsia="Times New Roman" w:hAnsi="Sylfaen" w:cs="Times New Roman"/>
                <w:color w:val="auto"/>
                <w:sz w:val="18"/>
                <w:szCs w:val="18"/>
                <w:lang w:val="hy-AM" w:eastAsia="ru-RU"/>
              </w:rPr>
            </w:pPr>
            <w:r w:rsidRPr="0060554E">
              <w:rPr>
                <w:rFonts w:ascii="Sylfaen" w:eastAsia="Times New Roman" w:hAnsi="Sylfaen" w:cs="Times New Roman"/>
                <w:color w:val="auto"/>
                <w:sz w:val="18"/>
                <w:szCs w:val="18"/>
                <w:lang w:val="hy-AM" w:eastAsia="ru-RU"/>
              </w:rPr>
              <w:t>Ստանդարտ կալիբրման միքս մաժոր AA և ICP-OES-ի համար, Agilent համատեղելի 6610030700</w:t>
            </w:r>
          </w:p>
          <w:p w:rsidR="0060554E" w:rsidRPr="0060554E" w:rsidRDefault="0060554E" w:rsidP="00012C1B">
            <w:pPr>
              <w:pStyle w:val="Heading1"/>
              <w:shd w:val="clear" w:color="auto" w:fill="FFFFFF"/>
              <w:spacing w:before="0"/>
              <w:textAlignment w:val="baseline"/>
              <w:rPr>
                <w:rFonts w:ascii="Sylfaen" w:eastAsia="Times New Roman" w:hAnsi="Sylfaen" w:cs="Times New Roman"/>
                <w:color w:val="auto"/>
                <w:sz w:val="18"/>
                <w:szCs w:val="18"/>
                <w:lang w:val="hy-AM" w:eastAsia="ru-RU"/>
              </w:rPr>
            </w:pPr>
            <w:r w:rsidRPr="0060554E">
              <w:rPr>
                <w:rFonts w:ascii="Sylfaen" w:eastAsia="Times New Roman" w:hAnsi="Sylfaen" w:cs="Times New Roman"/>
                <w:color w:val="auto"/>
                <w:sz w:val="18"/>
                <w:szCs w:val="18"/>
                <w:lang w:val="hy-AM" w:eastAsia="ru-RU"/>
              </w:rPr>
              <w:t>5 էլեմենտ: Calcium (Ca), Iron (Fe), Magnesium (Mg), Potassium (K), Sodium (Na)</w:t>
            </w:r>
            <w:r w:rsidRPr="0060554E">
              <w:rPr>
                <w:rFonts w:ascii="Times New Roman" w:eastAsia="Times New Roman" w:hAnsi="Times New Roman" w:cs="Times New Roman"/>
                <w:color w:val="auto"/>
                <w:sz w:val="18"/>
                <w:szCs w:val="18"/>
                <w:lang w:val="hy-AM" w:eastAsia="ru-RU"/>
              </w:rPr>
              <w:t>․</w:t>
            </w:r>
          </w:p>
          <w:p w:rsidR="0060554E" w:rsidRPr="0060554E" w:rsidRDefault="0060554E" w:rsidP="00012C1B">
            <w:pPr>
              <w:pStyle w:val="Heading1"/>
              <w:shd w:val="clear" w:color="auto" w:fill="FFFFFF"/>
              <w:spacing w:before="0"/>
              <w:textAlignment w:val="baseline"/>
              <w:rPr>
                <w:rFonts w:ascii="Sylfaen" w:eastAsia="Times New Roman" w:hAnsi="Sylfaen" w:cs="Times New Roman"/>
                <w:color w:val="auto"/>
                <w:sz w:val="18"/>
                <w:szCs w:val="18"/>
                <w:lang w:val="hy-AM" w:eastAsia="ru-RU"/>
              </w:rPr>
            </w:pPr>
            <w:r w:rsidRPr="0060554E">
              <w:rPr>
                <w:rFonts w:ascii="Sylfaen" w:eastAsia="Times New Roman" w:hAnsi="Sylfaen" w:cs="Times New Roman"/>
                <w:color w:val="auto"/>
                <w:sz w:val="18"/>
                <w:szCs w:val="18"/>
                <w:lang w:val="hy-AM" w:eastAsia="ru-RU"/>
              </w:rPr>
              <w:t>յուրաքանչյուրը՝ 500ppm կոնցենտրացիայով։ Մատրիքսը՝ 5% ազոտական թթու։</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Ծավալը՝ 125 մլ, պոլիէթիլենային շիշ։</w:t>
            </w:r>
          </w:p>
          <w:p w:rsidR="0060554E" w:rsidRPr="0060554E" w:rsidRDefault="0060554E" w:rsidP="00012C1B">
            <w:pPr>
              <w:ind w:right="34"/>
              <w:rPr>
                <w:rFonts w:ascii="Sylfaen" w:hAnsi="Sylfaen"/>
                <w:sz w:val="18"/>
                <w:szCs w:val="18"/>
                <w:lang w:val="hy-AM"/>
              </w:rPr>
            </w:pPr>
          </w:p>
          <w:p w:rsidR="0060554E" w:rsidRPr="0060554E" w:rsidRDefault="0060554E" w:rsidP="00012C1B">
            <w:pPr>
              <w:ind w:right="34"/>
              <w:rPr>
                <w:rFonts w:ascii="Sylfaen" w:hAnsi="Sylfaen"/>
                <w:sz w:val="18"/>
                <w:szCs w:val="18"/>
                <w:lang w:val="hy-AM"/>
              </w:rPr>
            </w:pPr>
            <w:r w:rsidRPr="0060554E">
              <w:rPr>
                <w:rFonts w:ascii="Sylfaen" w:hAnsi="Sylfaen"/>
                <w:sz w:val="18"/>
                <w:szCs w:val="18"/>
                <w:lang w:val="hy-AM"/>
              </w:rPr>
              <w:t xml:space="preserve">Calibration </w:t>
            </w:r>
            <w:r w:rsidRPr="0060554E">
              <w:rPr>
                <w:rFonts w:ascii="Sylfaen" w:hAnsi="Sylfaen"/>
                <w:sz w:val="18"/>
                <w:szCs w:val="18"/>
              </w:rPr>
              <w:t xml:space="preserve">standards </w:t>
            </w:r>
            <w:r w:rsidRPr="0060554E">
              <w:rPr>
                <w:rFonts w:ascii="Sylfaen" w:hAnsi="Sylfaen"/>
                <w:sz w:val="18"/>
                <w:szCs w:val="18"/>
                <w:lang w:val="hy-AM"/>
              </w:rPr>
              <w:t>mix majors for A</w:t>
            </w:r>
            <w:proofErr w:type="spellStart"/>
            <w:r w:rsidRPr="0060554E">
              <w:rPr>
                <w:rFonts w:ascii="Sylfaen" w:hAnsi="Sylfaen"/>
                <w:sz w:val="18"/>
                <w:szCs w:val="18"/>
              </w:rPr>
              <w:t>tomic</w:t>
            </w:r>
            <w:proofErr w:type="spellEnd"/>
            <w:r w:rsidRPr="0060554E">
              <w:rPr>
                <w:rFonts w:ascii="Sylfaen" w:hAnsi="Sylfaen"/>
                <w:sz w:val="18"/>
                <w:szCs w:val="18"/>
              </w:rPr>
              <w:t xml:space="preserve"> absorption</w:t>
            </w:r>
            <w:r w:rsidRPr="0060554E">
              <w:rPr>
                <w:rFonts w:ascii="Sylfaen" w:hAnsi="Sylfaen"/>
                <w:sz w:val="18"/>
                <w:szCs w:val="18"/>
                <w:lang w:val="hy-AM"/>
              </w:rPr>
              <w:t xml:space="preserve"> and ICP-OES, Agilent </w:t>
            </w:r>
            <w:r w:rsidRPr="0060554E">
              <w:rPr>
                <w:rFonts w:ascii="Sylfaen" w:hAnsi="Sylfaen"/>
                <w:sz w:val="18"/>
                <w:szCs w:val="18"/>
              </w:rPr>
              <w:t>Compatible</w:t>
            </w:r>
            <w:r w:rsidRPr="0060554E">
              <w:rPr>
                <w:rFonts w:ascii="Sylfaen" w:hAnsi="Sylfaen"/>
                <w:sz w:val="18"/>
                <w:szCs w:val="18"/>
                <w:lang w:val="hy-AM"/>
              </w:rPr>
              <w:t xml:space="preserve"> 6610030700</w:t>
            </w:r>
            <w:r w:rsidRPr="0060554E">
              <w:rPr>
                <w:rFonts w:ascii="Sylfaen" w:hAnsi="Sylfaen"/>
                <w:sz w:val="18"/>
                <w:szCs w:val="18"/>
              </w:rPr>
              <w:t xml:space="preserve">, </w:t>
            </w:r>
            <w:r w:rsidRPr="0060554E">
              <w:rPr>
                <w:rFonts w:ascii="Sylfaen" w:hAnsi="Sylfaen"/>
                <w:sz w:val="18"/>
                <w:szCs w:val="18"/>
                <w:lang w:val="hy-AM"/>
              </w:rPr>
              <w:t xml:space="preserve">5 </w:t>
            </w:r>
            <w:r w:rsidRPr="0060554E">
              <w:rPr>
                <w:rFonts w:ascii="Sylfaen" w:hAnsi="Sylfaen"/>
                <w:sz w:val="18"/>
                <w:szCs w:val="18"/>
              </w:rPr>
              <w:t xml:space="preserve">components: </w:t>
            </w:r>
            <w:r w:rsidRPr="0060554E">
              <w:rPr>
                <w:rFonts w:ascii="Sylfaen" w:hAnsi="Sylfaen"/>
                <w:sz w:val="18"/>
                <w:szCs w:val="18"/>
                <w:lang w:val="hy-AM"/>
              </w:rPr>
              <w:t>Calcium (Ca)</w:t>
            </w:r>
            <w:r w:rsidRPr="0060554E">
              <w:rPr>
                <w:rFonts w:ascii="Sylfaen" w:hAnsi="Sylfaen"/>
                <w:sz w:val="18"/>
                <w:szCs w:val="18"/>
              </w:rPr>
              <w:t xml:space="preserve">, </w:t>
            </w:r>
            <w:r w:rsidRPr="0060554E">
              <w:rPr>
                <w:rFonts w:ascii="Sylfaen" w:hAnsi="Sylfaen"/>
                <w:sz w:val="18"/>
                <w:szCs w:val="18"/>
                <w:lang w:val="hy-AM"/>
              </w:rPr>
              <w:t>Iron (Fe)</w:t>
            </w:r>
            <w:r w:rsidRPr="0060554E">
              <w:rPr>
                <w:rFonts w:ascii="Sylfaen" w:hAnsi="Sylfaen"/>
                <w:sz w:val="18"/>
                <w:szCs w:val="18"/>
              </w:rPr>
              <w:t xml:space="preserve">, </w:t>
            </w:r>
            <w:r w:rsidRPr="0060554E">
              <w:rPr>
                <w:rFonts w:ascii="Sylfaen" w:hAnsi="Sylfaen"/>
                <w:sz w:val="18"/>
                <w:szCs w:val="18"/>
                <w:lang w:val="hy-AM"/>
              </w:rPr>
              <w:t>Magnesium (Mg), Potassium (K)</w:t>
            </w:r>
            <w:r w:rsidRPr="0060554E">
              <w:rPr>
                <w:rFonts w:ascii="Sylfaen" w:hAnsi="Sylfaen"/>
                <w:sz w:val="18"/>
                <w:szCs w:val="18"/>
              </w:rPr>
              <w:t xml:space="preserve">, </w:t>
            </w:r>
            <w:r w:rsidRPr="0060554E">
              <w:rPr>
                <w:rFonts w:ascii="Sylfaen" w:hAnsi="Sylfaen"/>
                <w:sz w:val="18"/>
                <w:szCs w:val="18"/>
                <w:lang w:val="hy-AM"/>
              </w:rPr>
              <w:t>Sodium (Na),</w:t>
            </w:r>
          </w:p>
          <w:p w:rsidR="0060554E" w:rsidRPr="0060554E" w:rsidRDefault="0060554E" w:rsidP="00012C1B">
            <w:pPr>
              <w:ind w:right="34"/>
              <w:rPr>
                <w:rFonts w:ascii="Sylfaen" w:hAnsi="Sylfaen"/>
                <w:sz w:val="18"/>
                <w:szCs w:val="18"/>
                <w:lang w:val="hy-AM"/>
              </w:rPr>
            </w:pPr>
            <w:r w:rsidRPr="0060554E">
              <w:rPr>
                <w:rFonts w:ascii="Sylfaen" w:hAnsi="Sylfaen"/>
                <w:sz w:val="18"/>
                <w:szCs w:val="18"/>
                <w:lang w:val="hy-AM"/>
              </w:rPr>
              <w:t>500ppm</w:t>
            </w:r>
          </w:p>
          <w:p w:rsidR="0060554E" w:rsidRPr="0060554E" w:rsidRDefault="0060554E" w:rsidP="00012C1B">
            <w:pPr>
              <w:ind w:right="34"/>
              <w:rPr>
                <w:rFonts w:ascii="Sylfaen" w:hAnsi="Sylfaen"/>
                <w:sz w:val="18"/>
                <w:szCs w:val="18"/>
                <w:vertAlign w:val="subscript"/>
              </w:rPr>
            </w:pPr>
            <w:r w:rsidRPr="0060554E">
              <w:rPr>
                <w:rFonts w:ascii="Sylfaen" w:hAnsi="Sylfaen"/>
                <w:sz w:val="18"/>
                <w:szCs w:val="18"/>
              </w:rPr>
              <w:t xml:space="preserve">Matrix: </w:t>
            </w:r>
            <w:r w:rsidRPr="0060554E">
              <w:rPr>
                <w:rFonts w:ascii="Sylfaen" w:hAnsi="Sylfaen"/>
                <w:sz w:val="18"/>
                <w:szCs w:val="18"/>
                <w:lang w:val="hy-AM"/>
              </w:rPr>
              <w:t>5% HNO</w:t>
            </w:r>
            <w:r w:rsidRPr="0060554E">
              <w:rPr>
                <w:rFonts w:ascii="Sylfaen" w:hAnsi="Sylfaen"/>
                <w:sz w:val="18"/>
                <w:szCs w:val="18"/>
                <w:vertAlign w:val="subscript"/>
                <w:lang w:val="hy-AM"/>
              </w:rPr>
              <w:t>3</w:t>
            </w:r>
            <w:r w:rsidRPr="0060554E">
              <w:rPr>
                <w:rFonts w:ascii="Sylfaen" w:hAnsi="Sylfaen"/>
                <w:sz w:val="18"/>
                <w:szCs w:val="18"/>
                <w:vertAlign w:val="subscript"/>
              </w:rPr>
              <w:t>,</w:t>
            </w:r>
            <w:r w:rsidRPr="0060554E">
              <w:rPr>
                <w:rFonts w:ascii="Sylfaen" w:hAnsi="Sylfaen"/>
                <w:sz w:val="18"/>
                <w:szCs w:val="18"/>
              </w:rPr>
              <w:t xml:space="preserve"> 125 ml</w:t>
            </w:r>
          </w:p>
        </w:tc>
        <w:tc>
          <w:tcPr>
            <w:tcW w:w="990"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հատ</w:t>
            </w:r>
          </w:p>
        </w:tc>
        <w:tc>
          <w:tcPr>
            <w:tcW w:w="749"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1</w:t>
            </w:r>
          </w:p>
        </w:tc>
        <w:tc>
          <w:tcPr>
            <w:tcW w:w="1560" w:type="dxa"/>
            <w:vAlign w:val="center"/>
          </w:tcPr>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ՀՀ ք. Երևան, Մանուկյան 1, թիվ 1-ին մասնաշենք</w:t>
            </w:r>
          </w:p>
        </w:tc>
        <w:tc>
          <w:tcPr>
            <w:tcW w:w="1741" w:type="dxa"/>
            <w:vAlign w:val="center"/>
          </w:tcPr>
          <w:p w:rsidR="0060554E" w:rsidRPr="0060554E" w:rsidRDefault="0060554E" w:rsidP="00012C1B">
            <w:pPr>
              <w:rPr>
                <w:rFonts w:ascii="Sylfaen" w:hAnsi="Sylfaen"/>
                <w:lang w:val="hy-AM"/>
              </w:rPr>
            </w:pPr>
            <w:r w:rsidRPr="0060554E">
              <w:rPr>
                <w:rFonts w:ascii="Sylfaen" w:hAnsi="Sylfaen"/>
                <w:sz w:val="18"/>
                <w:lang w:val="hy-AM"/>
              </w:rPr>
              <w:t>Պայմանագիրն ուժի մեջ մտնելու օրվանից հաշված առավելագույնը մինչև 2025 դեկտեմբերի 25:</w:t>
            </w:r>
          </w:p>
        </w:tc>
      </w:tr>
      <w:tr w:rsidR="0060554E" w:rsidRPr="00877BE1" w:rsidTr="0060554E">
        <w:trPr>
          <w:trHeight w:val="1223"/>
        </w:trPr>
        <w:tc>
          <w:tcPr>
            <w:tcW w:w="1134" w:type="dxa"/>
            <w:vAlign w:val="center"/>
          </w:tcPr>
          <w:p w:rsidR="0060554E" w:rsidRPr="0060554E" w:rsidRDefault="0060554E" w:rsidP="00012C1B">
            <w:pPr>
              <w:jc w:val="center"/>
              <w:rPr>
                <w:rFonts w:ascii="Sylfaen" w:hAnsi="Sylfaen"/>
                <w:color w:val="262626" w:themeColor="text1" w:themeTint="D9"/>
                <w:sz w:val="16"/>
                <w:szCs w:val="24"/>
              </w:rPr>
            </w:pPr>
            <w:r w:rsidRPr="0060554E">
              <w:rPr>
                <w:rFonts w:ascii="Sylfaen" w:hAnsi="Sylfaen"/>
                <w:color w:val="262626" w:themeColor="text1" w:themeTint="D9"/>
                <w:sz w:val="16"/>
                <w:szCs w:val="24"/>
              </w:rPr>
              <w:lastRenderedPageBreak/>
              <w:t>3</w:t>
            </w:r>
          </w:p>
        </w:tc>
        <w:tc>
          <w:tcPr>
            <w:tcW w:w="1843" w:type="dxa"/>
            <w:vAlign w:val="center"/>
          </w:tcPr>
          <w:p w:rsidR="0060554E" w:rsidRPr="0060554E" w:rsidRDefault="0060554E" w:rsidP="00012C1B">
            <w:pPr>
              <w:shd w:val="clear" w:color="auto" w:fill="FFFFFF"/>
              <w:spacing w:after="120"/>
              <w:ind w:right="120"/>
              <w:outlineLvl w:val="0"/>
              <w:rPr>
                <w:rFonts w:ascii="Sylfaen" w:hAnsi="Sylfaen"/>
                <w:sz w:val="18"/>
                <w:szCs w:val="18"/>
                <w:lang w:val="hy-AM"/>
              </w:rPr>
            </w:pPr>
            <w:r w:rsidRPr="0060554E">
              <w:rPr>
                <w:rFonts w:ascii="Sylfaen" w:hAnsi="Sylfaen" w:cs="Segoe UI"/>
                <w:bCs/>
                <w:color w:val="000000"/>
                <w:spacing w:val="6"/>
                <w:kern w:val="36"/>
                <w:sz w:val="18"/>
                <w:szCs w:val="18"/>
                <w:lang w:val="hy-AM"/>
              </w:rPr>
              <w:t xml:space="preserve">Լիթիում (Li), առանձին տարրի ստանդարտ լուծույթ, </w:t>
            </w:r>
            <w:r w:rsidRPr="0060554E">
              <w:rPr>
                <w:rFonts w:ascii="Sylfaen" w:hAnsi="Sylfaen"/>
                <w:sz w:val="18"/>
                <w:szCs w:val="18"/>
                <w:lang w:val="hy-AM"/>
              </w:rPr>
              <w:t>Agilent համատեղելի, AA և ICP-OES-ի  աշխատանքի համար</w:t>
            </w:r>
          </w:p>
          <w:p w:rsidR="0060554E" w:rsidRPr="0060554E" w:rsidRDefault="0060554E" w:rsidP="00012C1B">
            <w:pPr>
              <w:shd w:val="clear" w:color="auto" w:fill="FFFFFF"/>
              <w:ind w:right="120"/>
              <w:outlineLvl w:val="0"/>
              <w:rPr>
                <w:rFonts w:ascii="Sylfaen" w:hAnsi="Sylfaen"/>
                <w:sz w:val="18"/>
                <w:szCs w:val="18"/>
                <w:lang w:val="hy-AM"/>
              </w:rPr>
            </w:pPr>
          </w:p>
          <w:p w:rsidR="0060554E" w:rsidRPr="0060554E" w:rsidRDefault="0060554E" w:rsidP="00012C1B">
            <w:pPr>
              <w:shd w:val="clear" w:color="auto" w:fill="FFFFFF"/>
              <w:ind w:right="120"/>
              <w:outlineLvl w:val="0"/>
              <w:rPr>
                <w:rFonts w:ascii="Sylfaen" w:hAnsi="Sylfaen" w:cs="Segoe UI"/>
                <w:bCs/>
                <w:color w:val="000000"/>
                <w:spacing w:val="6"/>
                <w:kern w:val="36"/>
                <w:sz w:val="18"/>
                <w:szCs w:val="18"/>
                <w:lang w:val="hy-AM"/>
              </w:rPr>
            </w:pPr>
            <w:r w:rsidRPr="0060554E">
              <w:rPr>
                <w:rFonts w:ascii="Sylfaen" w:hAnsi="Sylfaen" w:cs="Segoe UI"/>
                <w:bCs/>
                <w:color w:val="000000"/>
                <w:spacing w:val="6"/>
                <w:kern w:val="36"/>
                <w:sz w:val="18"/>
                <w:szCs w:val="18"/>
              </w:rPr>
              <w:t>Lithium</w:t>
            </w:r>
            <w:r w:rsidRPr="0060554E">
              <w:rPr>
                <w:rFonts w:ascii="Sylfaen" w:hAnsi="Sylfaen" w:cs="Segoe UI"/>
                <w:bCs/>
                <w:color w:val="000000"/>
                <w:spacing w:val="6"/>
                <w:kern w:val="36"/>
                <w:sz w:val="18"/>
                <w:szCs w:val="18"/>
                <w:lang w:val="hy-AM"/>
              </w:rPr>
              <w:t xml:space="preserve"> (Li)</w:t>
            </w:r>
            <w:r w:rsidRPr="0060554E">
              <w:rPr>
                <w:rFonts w:ascii="Sylfaen" w:hAnsi="Sylfaen" w:cs="Segoe UI"/>
                <w:bCs/>
                <w:color w:val="000000"/>
                <w:spacing w:val="6"/>
                <w:kern w:val="36"/>
                <w:sz w:val="18"/>
                <w:szCs w:val="18"/>
              </w:rPr>
              <w:t xml:space="preserve">, single element </w:t>
            </w:r>
            <w:proofErr w:type="spellStart"/>
            <w:r w:rsidRPr="0060554E">
              <w:rPr>
                <w:rFonts w:ascii="Sylfaen" w:hAnsi="Sylfaen" w:cs="Segoe UI"/>
                <w:bCs/>
                <w:color w:val="000000"/>
                <w:spacing w:val="6"/>
                <w:kern w:val="36"/>
                <w:sz w:val="18"/>
                <w:szCs w:val="18"/>
              </w:rPr>
              <w:t>stsandard</w:t>
            </w:r>
            <w:proofErr w:type="spellEnd"/>
            <w:r w:rsidRPr="0060554E">
              <w:rPr>
                <w:rFonts w:ascii="Sylfaen" w:hAnsi="Sylfaen" w:cs="Segoe UI"/>
                <w:bCs/>
                <w:color w:val="000000"/>
                <w:spacing w:val="6"/>
                <w:kern w:val="36"/>
                <w:sz w:val="18"/>
                <w:szCs w:val="18"/>
              </w:rPr>
              <w:t xml:space="preserve">, for Agilent compatible </w:t>
            </w:r>
            <w:r w:rsidRPr="0060554E">
              <w:rPr>
                <w:rFonts w:ascii="Sylfaen" w:hAnsi="Sylfaen"/>
                <w:sz w:val="18"/>
                <w:szCs w:val="18"/>
              </w:rPr>
              <w:t xml:space="preserve">AA and </w:t>
            </w:r>
            <w:r w:rsidRPr="0060554E">
              <w:rPr>
                <w:rFonts w:ascii="Sylfaen" w:hAnsi="Sylfaen"/>
                <w:sz w:val="18"/>
                <w:szCs w:val="18"/>
                <w:lang w:val="hy-AM"/>
              </w:rPr>
              <w:t>ICP-OES</w:t>
            </w:r>
          </w:p>
        </w:tc>
        <w:tc>
          <w:tcPr>
            <w:tcW w:w="3647" w:type="dxa"/>
            <w:vAlign w:val="center"/>
          </w:tcPr>
          <w:p w:rsidR="0060554E" w:rsidRPr="0060554E" w:rsidRDefault="0060554E" w:rsidP="00012C1B">
            <w:pPr>
              <w:pStyle w:val="Heading1"/>
              <w:shd w:val="clear" w:color="auto" w:fill="FFFFFF"/>
              <w:spacing w:before="0"/>
              <w:textAlignment w:val="baseline"/>
              <w:rPr>
                <w:rFonts w:ascii="Sylfaen" w:eastAsia="Times New Roman" w:hAnsi="Sylfaen" w:cs="Times New Roman"/>
                <w:color w:val="auto"/>
                <w:sz w:val="18"/>
                <w:szCs w:val="18"/>
                <w:lang w:val="hy-AM" w:eastAsia="ru-RU"/>
              </w:rPr>
            </w:pPr>
            <w:r w:rsidRPr="0060554E">
              <w:rPr>
                <w:rFonts w:ascii="Sylfaen" w:eastAsia="Times New Roman" w:hAnsi="Sylfaen" w:cs="Times New Roman"/>
                <w:color w:val="auto"/>
                <w:sz w:val="18"/>
                <w:szCs w:val="18"/>
                <w:lang w:val="hy-AM" w:eastAsia="ru-RU"/>
              </w:rPr>
              <w:t>Լիթիում (Li) էլեմենտի ստանդարտ լուծույթ՝ 1000ppm կոնցենտրացիայով, Agilent համատեղելի 5190-8289։ Մատրիքսը՝ 5% ազոտական թթու։</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Ծավալը՝ 100 մլ, պոլիէթիլենային շիշ։</w:t>
            </w:r>
          </w:p>
        </w:tc>
        <w:tc>
          <w:tcPr>
            <w:tcW w:w="990"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հատ</w:t>
            </w:r>
          </w:p>
        </w:tc>
        <w:tc>
          <w:tcPr>
            <w:tcW w:w="749" w:type="dxa"/>
            <w:vAlign w:val="center"/>
          </w:tcPr>
          <w:p w:rsidR="0060554E" w:rsidRPr="0060554E" w:rsidRDefault="0060554E" w:rsidP="00012C1B">
            <w:pPr>
              <w:ind w:left="34" w:right="34"/>
              <w:jc w:val="center"/>
              <w:rPr>
                <w:rFonts w:ascii="Sylfaen" w:hAnsi="Sylfaen"/>
                <w:sz w:val="18"/>
                <w:szCs w:val="18"/>
              </w:rPr>
            </w:pPr>
            <w:r w:rsidRPr="0060554E">
              <w:rPr>
                <w:rFonts w:ascii="Sylfaen" w:hAnsi="Sylfaen"/>
                <w:sz w:val="18"/>
                <w:szCs w:val="18"/>
              </w:rPr>
              <w:t>1</w:t>
            </w:r>
          </w:p>
        </w:tc>
        <w:tc>
          <w:tcPr>
            <w:tcW w:w="1560"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ՀՀ ք. Երևան, Մանուկյան 1, թիվ 1-ին մասնաշենք</w:t>
            </w:r>
          </w:p>
        </w:tc>
        <w:tc>
          <w:tcPr>
            <w:tcW w:w="1741" w:type="dxa"/>
            <w:vAlign w:val="center"/>
          </w:tcPr>
          <w:p w:rsidR="0060554E" w:rsidRPr="0060554E" w:rsidRDefault="0060554E" w:rsidP="00012C1B">
            <w:pPr>
              <w:rPr>
                <w:rFonts w:ascii="Sylfaen" w:hAnsi="Sylfaen"/>
                <w:lang w:val="hy-AM"/>
              </w:rPr>
            </w:pPr>
            <w:r w:rsidRPr="0060554E">
              <w:rPr>
                <w:rFonts w:ascii="Sylfaen" w:hAnsi="Sylfaen"/>
                <w:sz w:val="18"/>
                <w:lang w:val="hy-AM"/>
              </w:rPr>
              <w:t>Պայմանագիրն ուժի մեջ մտնելու օրվանից հաշված առավելագույնը մինչև 2025 դեկտեմբերի 25:</w:t>
            </w:r>
          </w:p>
        </w:tc>
      </w:tr>
      <w:tr w:rsidR="0060554E" w:rsidRPr="00877BE1" w:rsidTr="0060554E">
        <w:trPr>
          <w:trHeight w:val="1808"/>
        </w:trPr>
        <w:tc>
          <w:tcPr>
            <w:tcW w:w="1134" w:type="dxa"/>
            <w:vAlign w:val="center"/>
          </w:tcPr>
          <w:p w:rsidR="0060554E" w:rsidRPr="0060554E" w:rsidRDefault="0060554E" w:rsidP="00012C1B">
            <w:pPr>
              <w:jc w:val="center"/>
              <w:rPr>
                <w:rFonts w:ascii="Sylfaen" w:hAnsi="Sylfaen"/>
                <w:color w:val="262626" w:themeColor="text1" w:themeTint="D9"/>
                <w:sz w:val="16"/>
                <w:szCs w:val="24"/>
                <w:lang w:val="hy-AM"/>
              </w:rPr>
            </w:pPr>
            <w:r w:rsidRPr="0060554E">
              <w:rPr>
                <w:rFonts w:ascii="Sylfaen" w:hAnsi="Sylfaen"/>
                <w:color w:val="262626" w:themeColor="text1" w:themeTint="D9"/>
                <w:sz w:val="16"/>
                <w:szCs w:val="24"/>
                <w:lang w:val="hy-AM"/>
              </w:rPr>
              <w:t>4</w:t>
            </w:r>
          </w:p>
        </w:tc>
        <w:tc>
          <w:tcPr>
            <w:tcW w:w="1843" w:type="dxa"/>
            <w:vAlign w:val="center"/>
          </w:tcPr>
          <w:p w:rsidR="0060554E" w:rsidRPr="0060554E" w:rsidRDefault="0060554E" w:rsidP="00012C1B">
            <w:pPr>
              <w:shd w:val="clear" w:color="auto" w:fill="FFFFFF"/>
              <w:spacing w:after="120"/>
              <w:ind w:right="120"/>
              <w:outlineLvl w:val="0"/>
              <w:rPr>
                <w:rFonts w:ascii="Sylfaen" w:hAnsi="Sylfaen"/>
                <w:sz w:val="18"/>
                <w:szCs w:val="18"/>
                <w:lang w:val="hy-AM"/>
              </w:rPr>
            </w:pPr>
            <w:r w:rsidRPr="0060554E">
              <w:rPr>
                <w:rFonts w:ascii="Sylfaen" w:hAnsi="Sylfaen" w:cs="Segoe UI"/>
                <w:bCs/>
                <w:color w:val="000000"/>
                <w:spacing w:val="6"/>
                <w:kern w:val="36"/>
                <w:sz w:val="18"/>
                <w:szCs w:val="18"/>
                <w:lang w:val="hy-AM"/>
              </w:rPr>
              <w:t xml:space="preserve">Սնդիկ (Hg), առանձին տարրի ստանդարտ լուծույթ, </w:t>
            </w:r>
            <w:r w:rsidRPr="0060554E">
              <w:rPr>
                <w:rFonts w:ascii="Sylfaen" w:hAnsi="Sylfaen"/>
                <w:sz w:val="18"/>
                <w:szCs w:val="18"/>
                <w:lang w:val="hy-AM"/>
              </w:rPr>
              <w:t xml:space="preserve">Agilent համատեղելի, AA և ICP-OES-ի  աշխատանքի համար </w:t>
            </w:r>
          </w:p>
          <w:p w:rsidR="0060554E" w:rsidRPr="0060554E" w:rsidRDefault="0060554E" w:rsidP="00012C1B">
            <w:pPr>
              <w:shd w:val="clear" w:color="auto" w:fill="FFFFFF"/>
              <w:spacing w:after="120"/>
              <w:ind w:right="120"/>
              <w:outlineLvl w:val="0"/>
              <w:rPr>
                <w:rFonts w:ascii="Sylfaen" w:hAnsi="Sylfaen" w:cs="Segoe UI"/>
                <w:bCs/>
                <w:color w:val="000000"/>
                <w:spacing w:val="6"/>
                <w:kern w:val="36"/>
                <w:sz w:val="18"/>
                <w:szCs w:val="18"/>
              </w:rPr>
            </w:pPr>
            <w:r w:rsidRPr="0060554E">
              <w:rPr>
                <w:rFonts w:ascii="Sylfaen" w:hAnsi="Sylfaen" w:cs="Segoe UI"/>
                <w:bCs/>
                <w:color w:val="000000"/>
                <w:spacing w:val="6"/>
                <w:kern w:val="36"/>
                <w:sz w:val="18"/>
                <w:szCs w:val="18"/>
                <w:lang w:val="hy-AM"/>
              </w:rPr>
              <w:t>Mercury (Hg)</w:t>
            </w:r>
            <w:r w:rsidRPr="0060554E">
              <w:rPr>
                <w:rFonts w:ascii="Sylfaen" w:hAnsi="Sylfaen" w:cs="Segoe UI"/>
                <w:bCs/>
                <w:color w:val="000000"/>
                <w:spacing w:val="6"/>
                <w:kern w:val="36"/>
                <w:sz w:val="18"/>
                <w:szCs w:val="18"/>
              </w:rPr>
              <w:t xml:space="preserve">, single element </w:t>
            </w:r>
            <w:proofErr w:type="spellStart"/>
            <w:r w:rsidRPr="0060554E">
              <w:rPr>
                <w:rFonts w:ascii="Sylfaen" w:hAnsi="Sylfaen" w:cs="Segoe UI"/>
                <w:bCs/>
                <w:color w:val="000000"/>
                <w:spacing w:val="6"/>
                <w:kern w:val="36"/>
                <w:sz w:val="18"/>
                <w:szCs w:val="18"/>
              </w:rPr>
              <w:t>stsandard</w:t>
            </w:r>
            <w:proofErr w:type="spellEnd"/>
            <w:r w:rsidRPr="0060554E">
              <w:rPr>
                <w:rFonts w:ascii="Sylfaen" w:hAnsi="Sylfaen" w:cs="Segoe UI"/>
                <w:bCs/>
                <w:color w:val="000000"/>
                <w:spacing w:val="6"/>
                <w:kern w:val="36"/>
                <w:sz w:val="18"/>
                <w:szCs w:val="18"/>
              </w:rPr>
              <w:t xml:space="preserve">, for Agilent compatible </w:t>
            </w:r>
            <w:r w:rsidRPr="0060554E">
              <w:rPr>
                <w:rFonts w:ascii="Sylfaen" w:hAnsi="Sylfaen"/>
                <w:sz w:val="18"/>
                <w:szCs w:val="18"/>
              </w:rPr>
              <w:t xml:space="preserve">AA and </w:t>
            </w:r>
            <w:r w:rsidRPr="0060554E">
              <w:rPr>
                <w:rFonts w:ascii="Sylfaen" w:hAnsi="Sylfaen"/>
                <w:sz w:val="18"/>
                <w:szCs w:val="18"/>
                <w:lang w:val="hy-AM"/>
              </w:rPr>
              <w:t>ICP-OES</w:t>
            </w:r>
            <w:r w:rsidRPr="0060554E">
              <w:rPr>
                <w:rFonts w:ascii="Sylfaen" w:hAnsi="Sylfaen" w:cs="Segoe UI"/>
                <w:bCs/>
                <w:color w:val="000000"/>
                <w:spacing w:val="6"/>
                <w:kern w:val="36"/>
                <w:sz w:val="18"/>
                <w:szCs w:val="18"/>
              </w:rPr>
              <w:t xml:space="preserve"> </w:t>
            </w:r>
          </w:p>
        </w:tc>
        <w:tc>
          <w:tcPr>
            <w:tcW w:w="3647" w:type="dxa"/>
            <w:vAlign w:val="center"/>
          </w:tcPr>
          <w:p w:rsidR="0060554E" w:rsidRPr="0060554E" w:rsidRDefault="0060554E" w:rsidP="00012C1B">
            <w:pPr>
              <w:pStyle w:val="Heading1"/>
              <w:shd w:val="clear" w:color="auto" w:fill="FFFFFF"/>
              <w:spacing w:before="0"/>
              <w:textAlignment w:val="baseline"/>
              <w:rPr>
                <w:rFonts w:ascii="Sylfaen" w:eastAsia="Times New Roman" w:hAnsi="Sylfaen" w:cs="Times New Roman"/>
                <w:color w:val="auto"/>
                <w:sz w:val="18"/>
                <w:szCs w:val="18"/>
                <w:lang w:val="hy-AM" w:eastAsia="ru-RU"/>
              </w:rPr>
            </w:pPr>
            <w:r w:rsidRPr="0060554E">
              <w:rPr>
                <w:rFonts w:ascii="Sylfaen" w:eastAsia="Times New Roman" w:hAnsi="Sylfaen" w:cs="Times New Roman"/>
                <w:color w:val="auto"/>
                <w:sz w:val="18"/>
                <w:szCs w:val="18"/>
                <w:lang w:val="hy-AM" w:eastAsia="ru-RU"/>
              </w:rPr>
              <w:t xml:space="preserve">Սնդիկ </w:t>
            </w:r>
            <w:r w:rsidRPr="0060554E">
              <w:rPr>
                <w:rFonts w:ascii="Sylfaen" w:eastAsia="Times New Roman" w:hAnsi="Sylfaen" w:cs="Times New Roman"/>
                <w:color w:val="auto"/>
                <w:sz w:val="18"/>
                <w:szCs w:val="18"/>
                <w:lang w:eastAsia="ru-RU"/>
              </w:rPr>
              <w:t xml:space="preserve">(Hg) </w:t>
            </w:r>
            <w:r w:rsidRPr="0060554E">
              <w:rPr>
                <w:rFonts w:ascii="Sylfaen" w:eastAsia="Times New Roman" w:hAnsi="Sylfaen" w:cs="Times New Roman"/>
                <w:color w:val="auto"/>
                <w:sz w:val="18"/>
                <w:szCs w:val="18"/>
                <w:lang w:val="hy-AM" w:eastAsia="ru-RU"/>
              </w:rPr>
              <w:t>էլեմենտի ստանդարտ լուծույթ՝ 1000ppm կոնցենտրացիայով</w:t>
            </w:r>
            <w:r w:rsidRPr="0060554E">
              <w:rPr>
                <w:rFonts w:ascii="Sylfaen" w:eastAsia="Times New Roman" w:hAnsi="Sylfaen" w:cs="Times New Roman"/>
                <w:color w:val="auto"/>
                <w:sz w:val="18"/>
                <w:szCs w:val="18"/>
                <w:lang w:eastAsia="ru-RU"/>
              </w:rPr>
              <w:t xml:space="preserve">, </w:t>
            </w:r>
            <w:r w:rsidRPr="0060554E">
              <w:rPr>
                <w:rFonts w:ascii="Sylfaen" w:eastAsia="Times New Roman" w:hAnsi="Sylfaen" w:cs="Times New Roman"/>
                <w:color w:val="auto"/>
                <w:sz w:val="18"/>
                <w:szCs w:val="18"/>
                <w:lang w:val="hy-AM" w:eastAsia="ru-RU"/>
              </w:rPr>
              <w:t xml:space="preserve">Agilent համատեղելի </w:t>
            </w:r>
            <w:r w:rsidRPr="0060554E">
              <w:rPr>
                <w:rFonts w:ascii="Sylfaen" w:eastAsia="Times New Roman" w:hAnsi="Sylfaen" w:cs="Times New Roman"/>
                <w:color w:val="auto"/>
                <w:sz w:val="18"/>
                <w:szCs w:val="18"/>
                <w:lang w:eastAsia="ru-RU"/>
              </w:rPr>
              <w:t>5190-8295</w:t>
            </w:r>
            <w:r w:rsidRPr="0060554E">
              <w:rPr>
                <w:rFonts w:ascii="Sylfaen" w:eastAsia="Times New Roman" w:hAnsi="Sylfaen" w:cs="Times New Roman"/>
                <w:color w:val="auto"/>
                <w:sz w:val="18"/>
                <w:szCs w:val="18"/>
                <w:lang w:val="hy-AM" w:eastAsia="ru-RU"/>
              </w:rPr>
              <w:t>։ Մատրիքսը՝ 5% ազոտական թթու։</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Ծավալը՝ 100 մլ, պոլիէթիլենային շիշ։</w:t>
            </w:r>
          </w:p>
          <w:p w:rsidR="0060554E" w:rsidRPr="0060554E" w:rsidRDefault="0060554E" w:rsidP="00012C1B">
            <w:pPr>
              <w:pStyle w:val="Heading1"/>
              <w:shd w:val="clear" w:color="auto" w:fill="FFFFFF"/>
              <w:spacing w:before="0" w:after="120"/>
              <w:ind w:right="120"/>
              <w:rPr>
                <w:rFonts w:ascii="Sylfaen" w:hAnsi="Sylfaen" w:cs="Segoe UI"/>
                <w:bCs/>
                <w:color w:val="000000"/>
                <w:spacing w:val="6"/>
                <w:kern w:val="36"/>
                <w:sz w:val="18"/>
                <w:szCs w:val="18"/>
                <w:lang w:val="hy-AM"/>
              </w:rPr>
            </w:pPr>
          </w:p>
        </w:tc>
        <w:tc>
          <w:tcPr>
            <w:tcW w:w="990"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հատ</w:t>
            </w:r>
          </w:p>
        </w:tc>
        <w:tc>
          <w:tcPr>
            <w:tcW w:w="749"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1</w:t>
            </w:r>
          </w:p>
        </w:tc>
        <w:tc>
          <w:tcPr>
            <w:tcW w:w="1560"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ՀՀ ք. Երևան, Մանուկյան 1, թիվ 1-ին մասնաշենք</w:t>
            </w:r>
          </w:p>
        </w:tc>
        <w:tc>
          <w:tcPr>
            <w:tcW w:w="1741" w:type="dxa"/>
            <w:vAlign w:val="center"/>
          </w:tcPr>
          <w:p w:rsidR="0060554E" w:rsidRPr="0060554E" w:rsidRDefault="0060554E" w:rsidP="00012C1B">
            <w:pPr>
              <w:rPr>
                <w:rFonts w:ascii="Sylfaen" w:hAnsi="Sylfaen"/>
                <w:lang w:val="hy-AM"/>
              </w:rPr>
            </w:pPr>
            <w:r w:rsidRPr="0060554E">
              <w:rPr>
                <w:rFonts w:ascii="Sylfaen" w:hAnsi="Sylfaen"/>
                <w:sz w:val="18"/>
                <w:lang w:val="hy-AM"/>
              </w:rPr>
              <w:t>Պայմանագիրն ուժի մեջ մտնելու օրվանից հաշված առավելագույնը մինչև 2025 դեկտեմբերի 25:</w:t>
            </w:r>
          </w:p>
        </w:tc>
      </w:tr>
    </w:tbl>
    <w:p w:rsidR="0060554E" w:rsidRPr="0060554E" w:rsidRDefault="0060554E" w:rsidP="0060554E">
      <w:pPr>
        <w:jc w:val="center"/>
        <w:rPr>
          <w:rFonts w:ascii="Sylfaen" w:hAnsi="Sylfaen"/>
          <w:lang w:val="hy-AM"/>
        </w:rPr>
      </w:pPr>
    </w:p>
    <w:p w:rsidR="0060554E" w:rsidRPr="0060554E" w:rsidRDefault="0060554E" w:rsidP="0060554E">
      <w:pPr>
        <w:jc w:val="center"/>
        <w:rPr>
          <w:rFonts w:ascii="Sylfaen" w:hAnsi="Sylfaen"/>
          <w:lang w:val="hy-AM"/>
        </w:rPr>
      </w:pPr>
    </w:p>
    <w:p w:rsidR="0060554E" w:rsidRPr="0060554E" w:rsidRDefault="0060554E" w:rsidP="0060554E">
      <w:pPr>
        <w:spacing w:line="276" w:lineRule="auto"/>
        <w:ind w:right="-384"/>
        <w:jc w:val="center"/>
        <w:rPr>
          <w:rFonts w:ascii="Sylfaen" w:hAnsi="Sylfaen" w:cs="Arial"/>
          <w:b/>
          <w:szCs w:val="24"/>
          <w:lang w:val="pt-BR"/>
        </w:rPr>
      </w:pPr>
    </w:p>
    <w:p w:rsidR="0060554E" w:rsidRPr="0060554E" w:rsidRDefault="0060554E" w:rsidP="0060554E">
      <w:pPr>
        <w:spacing w:after="160" w:line="259" w:lineRule="auto"/>
        <w:rPr>
          <w:rFonts w:ascii="Sylfaen" w:hAnsi="Sylfaen" w:cs="Arial"/>
          <w:b/>
          <w:szCs w:val="24"/>
          <w:lang w:val="pt-BR"/>
        </w:rPr>
      </w:pPr>
      <w:r w:rsidRPr="0060554E">
        <w:rPr>
          <w:rFonts w:ascii="Sylfaen" w:hAnsi="Sylfaen" w:cs="Arial"/>
          <w:b/>
          <w:szCs w:val="24"/>
          <w:lang w:val="pt-BR"/>
        </w:rPr>
        <w:br w:type="page"/>
      </w:r>
    </w:p>
    <w:p w:rsidR="0060554E" w:rsidRPr="0060554E" w:rsidRDefault="0060554E" w:rsidP="0060554E">
      <w:pPr>
        <w:spacing w:line="276" w:lineRule="auto"/>
        <w:ind w:right="-384"/>
        <w:jc w:val="center"/>
        <w:rPr>
          <w:rFonts w:ascii="Sylfaen" w:hAnsi="Sylfaen" w:cs="Arial"/>
          <w:b/>
          <w:szCs w:val="24"/>
          <w:lang w:val="hy-AM"/>
        </w:rPr>
      </w:pPr>
      <w:r w:rsidRPr="0060554E">
        <w:rPr>
          <w:rFonts w:ascii="Sylfaen" w:hAnsi="Sylfaen" w:cs="Arial"/>
          <w:b/>
          <w:szCs w:val="24"/>
          <w:lang w:val="pt-BR"/>
        </w:rPr>
        <w:lastRenderedPageBreak/>
        <w:t>ПРИОБРЕТЕНИЕ ХИМИЧЕСКИХ ВЕЩЕСТВ И ПРИНАДЛЕЖНОСТЕЙ</w:t>
      </w:r>
      <w:r w:rsidRPr="0060554E">
        <w:rPr>
          <w:rFonts w:ascii="Sylfaen" w:hAnsi="Sylfaen" w:cs="Arial"/>
          <w:b/>
          <w:szCs w:val="24"/>
          <w:lang w:val="hy-AM"/>
        </w:rPr>
        <w:t xml:space="preserve"> </w:t>
      </w:r>
    </w:p>
    <w:p w:rsidR="0060554E" w:rsidRPr="0060554E" w:rsidRDefault="0060554E" w:rsidP="0060554E">
      <w:pPr>
        <w:spacing w:line="276" w:lineRule="auto"/>
        <w:ind w:right="-384"/>
        <w:jc w:val="center"/>
        <w:rPr>
          <w:rFonts w:ascii="Sylfaen" w:hAnsi="Sylfaen" w:cs="Arial"/>
          <w:b/>
          <w:szCs w:val="24"/>
          <w:lang w:val="pt-BR"/>
        </w:rPr>
      </w:pPr>
      <w:r w:rsidRPr="0060554E">
        <w:rPr>
          <w:rFonts w:ascii="Sylfaen" w:hAnsi="Sylfaen" w:cs="Arial"/>
          <w:b/>
          <w:szCs w:val="24"/>
          <w:lang w:val="pt-BR"/>
        </w:rPr>
        <w:t xml:space="preserve">ТЕХНИЧЕСКАЯ ХАРАКТЕРИСТИКА </w:t>
      </w:r>
    </w:p>
    <w:tbl>
      <w:tblPr>
        <w:tblW w:w="10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2018"/>
        <w:gridCol w:w="2367"/>
        <w:gridCol w:w="1076"/>
        <w:gridCol w:w="928"/>
        <w:gridCol w:w="944"/>
        <w:gridCol w:w="1522"/>
      </w:tblGrid>
      <w:tr w:rsidR="0060554E" w:rsidRPr="0060554E" w:rsidTr="0060554E">
        <w:trPr>
          <w:trHeight w:val="422"/>
          <w:jc w:val="center"/>
        </w:trPr>
        <w:tc>
          <w:tcPr>
            <w:tcW w:w="10552" w:type="dxa"/>
            <w:gridSpan w:val="7"/>
          </w:tcPr>
          <w:p w:rsidR="0060554E" w:rsidRPr="0060554E" w:rsidRDefault="0060554E" w:rsidP="00012C1B">
            <w:pPr>
              <w:jc w:val="center"/>
              <w:rPr>
                <w:rFonts w:ascii="Sylfaen" w:hAnsi="Sylfaen"/>
                <w:szCs w:val="24"/>
                <w:lang w:bidi="ru-RU"/>
              </w:rPr>
            </w:pPr>
            <w:proofErr w:type="spellStart"/>
            <w:r w:rsidRPr="0060554E">
              <w:rPr>
                <w:rFonts w:ascii="Sylfaen" w:hAnsi="Sylfaen"/>
                <w:szCs w:val="24"/>
                <w:lang w:bidi="ru-RU"/>
              </w:rPr>
              <w:t>Товар</w:t>
            </w:r>
            <w:proofErr w:type="spellEnd"/>
          </w:p>
        </w:tc>
      </w:tr>
      <w:tr w:rsidR="0060554E" w:rsidRPr="0060554E" w:rsidTr="0067222C">
        <w:trPr>
          <w:trHeight w:val="247"/>
          <w:jc w:val="center"/>
        </w:trPr>
        <w:tc>
          <w:tcPr>
            <w:tcW w:w="1435" w:type="dxa"/>
            <w:vMerge w:val="restart"/>
            <w:vAlign w:val="center"/>
          </w:tcPr>
          <w:p w:rsidR="0060554E" w:rsidRPr="0060554E" w:rsidRDefault="0060554E" w:rsidP="00012C1B">
            <w:pPr>
              <w:jc w:val="center"/>
              <w:rPr>
                <w:rFonts w:ascii="Sylfaen" w:hAnsi="Sylfaen"/>
                <w:sz w:val="18"/>
                <w:szCs w:val="24"/>
                <w:lang w:val="pt-BR"/>
              </w:rPr>
            </w:pPr>
            <w:r w:rsidRPr="0060554E">
              <w:rPr>
                <w:rFonts w:ascii="Sylfaen" w:hAnsi="Sylfaen"/>
                <w:sz w:val="18"/>
                <w:szCs w:val="24"/>
                <w:lang w:val="pt-BR"/>
              </w:rPr>
              <w:t>номер предусмотренного приглашением</w:t>
            </w:r>
          </w:p>
          <w:p w:rsidR="0060554E" w:rsidRPr="0060554E" w:rsidRDefault="0060554E" w:rsidP="00012C1B">
            <w:pPr>
              <w:jc w:val="center"/>
              <w:rPr>
                <w:rFonts w:ascii="Sylfaen" w:hAnsi="Sylfaen"/>
                <w:sz w:val="18"/>
                <w:szCs w:val="24"/>
                <w:lang w:val="pt-BR"/>
              </w:rPr>
            </w:pPr>
            <w:r w:rsidRPr="0060554E">
              <w:rPr>
                <w:rFonts w:ascii="Sylfaen" w:hAnsi="Sylfaen"/>
                <w:sz w:val="18"/>
                <w:szCs w:val="24"/>
                <w:lang w:val="pt-BR"/>
              </w:rPr>
              <w:t>лота</w:t>
            </w:r>
          </w:p>
        </w:tc>
        <w:tc>
          <w:tcPr>
            <w:tcW w:w="2076" w:type="dxa"/>
            <w:vMerge w:val="restart"/>
            <w:vAlign w:val="center"/>
          </w:tcPr>
          <w:p w:rsidR="0060554E" w:rsidRPr="0060554E" w:rsidRDefault="0060554E" w:rsidP="00012C1B">
            <w:pPr>
              <w:jc w:val="center"/>
              <w:rPr>
                <w:rFonts w:ascii="Sylfaen" w:hAnsi="Sylfaen"/>
                <w:sz w:val="18"/>
                <w:szCs w:val="24"/>
                <w:lang w:val="ru-RU"/>
              </w:rPr>
            </w:pPr>
            <w:r w:rsidRPr="0060554E">
              <w:rPr>
                <w:rFonts w:ascii="Sylfaen" w:hAnsi="Sylfaen"/>
                <w:sz w:val="18"/>
                <w:szCs w:val="24"/>
                <w:lang w:val="ru-RU"/>
              </w:rPr>
              <w:t>Название</w:t>
            </w:r>
          </w:p>
        </w:tc>
        <w:tc>
          <w:tcPr>
            <w:tcW w:w="2476" w:type="dxa"/>
            <w:vMerge w:val="restart"/>
            <w:vAlign w:val="center"/>
          </w:tcPr>
          <w:p w:rsidR="0060554E" w:rsidRPr="0060554E" w:rsidRDefault="0060554E" w:rsidP="00012C1B">
            <w:pPr>
              <w:jc w:val="center"/>
              <w:rPr>
                <w:rFonts w:ascii="Sylfaen" w:hAnsi="Sylfaen"/>
                <w:sz w:val="18"/>
                <w:szCs w:val="24"/>
                <w:lang w:val="pt-BR"/>
              </w:rPr>
            </w:pPr>
            <w:r w:rsidRPr="0060554E">
              <w:rPr>
                <w:rFonts w:ascii="Sylfaen" w:hAnsi="Sylfaen"/>
                <w:sz w:val="18"/>
                <w:szCs w:val="24"/>
                <w:lang w:val="pt-BR"/>
              </w:rPr>
              <w:t>техни</w:t>
            </w:r>
            <w:proofErr w:type="spellStart"/>
            <w:r w:rsidRPr="0060554E">
              <w:rPr>
                <w:rFonts w:ascii="Sylfaen" w:hAnsi="Sylfaen"/>
                <w:sz w:val="18"/>
                <w:szCs w:val="24"/>
              </w:rPr>
              <w:t>че</w:t>
            </w:r>
            <w:proofErr w:type="spellEnd"/>
            <w:r w:rsidRPr="0060554E">
              <w:rPr>
                <w:rFonts w:ascii="Sylfaen" w:hAnsi="Sylfaen"/>
                <w:sz w:val="18"/>
                <w:szCs w:val="24"/>
                <w:lang w:val="pt-BR"/>
              </w:rPr>
              <w:t>ская характеристика</w:t>
            </w:r>
          </w:p>
        </w:tc>
        <w:tc>
          <w:tcPr>
            <w:tcW w:w="1078" w:type="dxa"/>
            <w:vMerge w:val="restart"/>
            <w:vAlign w:val="center"/>
          </w:tcPr>
          <w:p w:rsidR="0060554E" w:rsidRPr="0060554E" w:rsidRDefault="0060554E" w:rsidP="00012C1B">
            <w:pPr>
              <w:jc w:val="center"/>
              <w:rPr>
                <w:rFonts w:ascii="Sylfaen" w:hAnsi="Sylfaen"/>
                <w:sz w:val="18"/>
                <w:szCs w:val="24"/>
                <w:lang w:val="pt-BR"/>
              </w:rPr>
            </w:pPr>
            <w:r w:rsidRPr="0060554E">
              <w:rPr>
                <w:rFonts w:ascii="Sylfaen" w:hAnsi="Sylfaen"/>
                <w:sz w:val="18"/>
                <w:szCs w:val="24"/>
                <w:lang w:val="pt-BR"/>
              </w:rPr>
              <w:t>единица измерения</w:t>
            </w:r>
          </w:p>
        </w:tc>
        <w:tc>
          <w:tcPr>
            <w:tcW w:w="957" w:type="dxa"/>
            <w:vMerge w:val="restart"/>
            <w:vAlign w:val="center"/>
          </w:tcPr>
          <w:p w:rsidR="0060554E" w:rsidRPr="0060554E" w:rsidRDefault="0060554E" w:rsidP="00012C1B">
            <w:pPr>
              <w:jc w:val="center"/>
              <w:rPr>
                <w:rFonts w:ascii="Sylfaen" w:hAnsi="Sylfaen"/>
                <w:sz w:val="18"/>
                <w:szCs w:val="24"/>
                <w:lang w:val="pt-BR"/>
              </w:rPr>
            </w:pPr>
            <w:r w:rsidRPr="0060554E">
              <w:rPr>
                <w:rFonts w:ascii="Sylfaen" w:hAnsi="Sylfaen"/>
                <w:sz w:val="18"/>
                <w:szCs w:val="24"/>
                <w:lang w:val="pt-BR"/>
              </w:rPr>
              <w:t>общий объем</w:t>
            </w:r>
          </w:p>
        </w:tc>
        <w:tc>
          <w:tcPr>
            <w:tcW w:w="2530" w:type="dxa"/>
            <w:gridSpan w:val="2"/>
            <w:vAlign w:val="center"/>
          </w:tcPr>
          <w:p w:rsidR="0060554E" w:rsidRPr="0060554E" w:rsidRDefault="0060554E" w:rsidP="00012C1B">
            <w:pPr>
              <w:jc w:val="center"/>
              <w:rPr>
                <w:rFonts w:ascii="Sylfaen" w:hAnsi="Sylfaen"/>
                <w:sz w:val="18"/>
                <w:szCs w:val="24"/>
                <w:lang w:val="pt-BR"/>
              </w:rPr>
            </w:pPr>
            <w:r w:rsidRPr="0060554E">
              <w:rPr>
                <w:rFonts w:ascii="Sylfaen" w:hAnsi="Sylfaen"/>
                <w:sz w:val="18"/>
                <w:szCs w:val="24"/>
                <w:lang w:val="pt-BR"/>
              </w:rPr>
              <w:t>предоставления</w:t>
            </w:r>
          </w:p>
        </w:tc>
      </w:tr>
      <w:tr w:rsidR="0060554E" w:rsidRPr="0060554E" w:rsidTr="0067222C">
        <w:trPr>
          <w:trHeight w:val="1108"/>
          <w:jc w:val="center"/>
        </w:trPr>
        <w:tc>
          <w:tcPr>
            <w:tcW w:w="1435" w:type="dxa"/>
            <w:vMerge/>
            <w:vAlign w:val="center"/>
          </w:tcPr>
          <w:p w:rsidR="0060554E" w:rsidRPr="0060554E" w:rsidRDefault="0060554E" w:rsidP="00012C1B">
            <w:pPr>
              <w:jc w:val="center"/>
              <w:rPr>
                <w:rFonts w:ascii="Sylfaen" w:hAnsi="Sylfaen"/>
                <w:sz w:val="18"/>
                <w:szCs w:val="24"/>
                <w:lang w:val="pt-BR"/>
              </w:rPr>
            </w:pPr>
          </w:p>
        </w:tc>
        <w:tc>
          <w:tcPr>
            <w:tcW w:w="2076" w:type="dxa"/>
            <w:vMerge/>
            <w:vAlign w:val="center"/>
          </w:tcPr>
          <w:p w:rsidR="0060554E" w:rsidRPr="0060554E" w:rsidRDefault="0060554E" w:rsidP="00012C1B">
            <w:pPr>
              <w:jc w:val="center"/>
              <w:rPr>
                <w:rFonts w:ascii="Sylfaen" w:hAnsi="Sylfaen"/>
                <w:sz w:val="18"/>
                <w:szCs w:val="24"/>
                <w:lang w:val="pt-BR"/>
              </w:rPr>
            </w:pPr>
          </w:p>
        </w:tc>
        <w:tc>
          <w:tcPr>
            <w:tcW w:w="2476" w:type="dxa"/>
            <w:vMerge/>
            <w:vAlign w:val="center"/>
          </w:tcPr>
          <w:p w:rsidR="0060554E" w:rsidRPr="0060554E" w:rsidRDefault="0060554E" w:rsidP="00012C1B">
            <w:pPr>
              <w:jc w:val="center"/>
              <w:rPr>
                <w:rFonts w:ascii="Sylfaen" w:hAnsi="Sylfaen"/>
                <w:sz w:val="18"/>
                <w:szCs w:val="24"/>
                <w:lang w:val="pt-BR"/>
              </w:rPr>
            </w:pPr>
          </w:p>
        </w:tc>
        <w:tc>
          <w:tcPr>
            <w:tcW w:w="1078" w:type="dxa"/>
            <w:vMerge/>
            <w:vAlign w:val="center"/>
          </w:tcPr>
          <w:p w:rsidR="0060554E" w:rsidRPr="0060554E" w:rsidRDefault="0060554E" w:rsidP="00012C1B">
            <w:pPr>
              <w:jc w:val="center"/>
              <w:rPr>
                <w:rFonts w:ascii="Sylfaen" w:hAnsi="Sylfaen"/>
                <w:sz w:val="18"/>
                <w:szCs w:val="24"/>
                <w:lang w:val="pt-BR"/>
              </w:rPr>
            </w:pPr>
          </w:p>
        </w:tc>
        <w:tc>
          <w:tcPr>
            <w:tcW w:w="957" w:type="dxa"/>
            <w:vMerge/>
            <w:vAlign w:val="center"/>
          </w:tcPr>
          <w:p w:rsidR="0060554E" w:rsidRPr="0060554E" w:rsidRDefault="0060554E" w:rsidP="00012C1B">
            <w:pPr>
              <w:jc w:val="center"/>
              <w:rPr>
                <w:rFonts w:ascii="Sylfaen" w:hAnsi="Sylfaen"/>
                <w:sz w:val="18"/>
                <w:szCs w:val="24"/>
                <w:lang w:val="pt-BR"/>
              </w:rPr>
            </w:pPr>
          </w:p>
        </w:tc>
        <w:tc>
          <w:tcPr>
            <w:tcW w:w="944" w:type="dxa"/>
            <w:vAlign w:val="center"/>
          </w:tcPr>
          <w:p w:rsidR="0060554E" w:rsidRPr="0060554E" w:rsidRDefault="0060554E" w:rsidP="00012C1B">
            <w:pPr>
              <w:jc w:val="center"/>
              <w:rPr>
                <w:rFonts w:ascii="Sylfaen" w:hAnsi="Sylfaen"/>
                <w:sz w:val="18"/>
                <w:szCs w:val="24"/>
                <w:lang w:val="pt-BR"/>
              </w:rPr>
            </w:pPr>
            <w:r w:rsidRPr="0060554E">
              <w:rPr>
                <w:rFonts w:ascii="Sylfaen" w:hAnsi="Sylfaen"/>
                <w:sz w:val="18"/>
                <w:szCs w:val="24"/>
                <w:lang w:val="pt-BR"/>
              </w:rPr>
              <w:t>адрес</w:t>
            </w:r>
          </w:p>
        </w:tc>
        <w:tc>
          <w:tcPr>
            <w:tcW w:w="1586" w:type="dxa"/>
            <w:vAlign w:val="center"/>
          </w:tcPr>
          <w:p w:rsidR="0060554E" w:rsidRPr="0060554E" w:rsidRDefault="0060554E" w:rsidP="00012C1B">
            <w:pPr>
              <w:jc w:val="center"/>
              <w:rPr>
                <w:rFonts w:ascii="Sylfaen" w:hAnsi="Sylfaen"/>
                <w:sz w:val="18"/>
                <w:szCs w:val="24"/>
                <w:lang w:val="pt-BR"/>
              </w:rPr>
            </w:pPr>
            <w:r w:rsidRPr="0060554E">
              <w:rPr>
                <w:rFonts w:ascii="Sylfaen" w:hAnsi="Sylfaen"/>
                <w:sz w:val="18"/>
                <w:szCs w:val="24"/>
                <w:lang w:val="pt-BR"/>
              </w:rPr>
              <w:t>срок</w:t>
            </w:r>
          </w:p>
        </w:tc>
      </w:tr>
      <w:tr w:rsidR="0060554E" w:rsidRPr="00877BE1" w:rsidTr="0067222C">
        <w:trPr>
          <w:trHeight w:val="70"/>
          <w:jc w:val="center"/>
        </w:trPr>
        <w:tc>
          <w:tcPr>
            <w:tcW w:w="1435" w:type="dxa"/>
            <w:vAlign w:val="center"/>
          </w:tcPr>
          <w:p w:rsidR="0060554E" w:rsidRPr="0060554E" w:rsidRDefault="0060554E" w:rsidP="00012C1B">
            <w:pPr>
              <w:jc w:val="center"/>
              <w:rPr>
                <w:rFonts w:ascii="Sylfaen" w:hAnsi="Sylfaen"/>
                <w:sz w:val="20"/>
                <w:szCs w:val="24"/>
              </w:rPr>
            </w:pPr>
            <w:r w:rsidRPr="0060554E">
              <w:rPr>
                <w:rFonts w:ascii="Sylfaen" w:hAnsi="Sylfaen"/>
                <w:sz w:val="20"/>
                <w:szCs w:val="24"/>
              </w:rPr>
              <w:t>1</w:t>
            </w:r>
          </w:p>
        </w:tc>
        <w:tc>
          <w:tcPr>
            <w:tcW w:w="2076" w:type="dxa"/>
            <w:vAlign w:val="center"/>
          </w:tcPr>
          <w:p w:rsidR="0060554E" w:rsidRPr="0060554E" w:rsidRDefault="0060554E" w:rsidP="00012C1B">
            <w:pPr>
              <w:rPr>
                <w:rFonts w:ascii="Sylfaen" w:hAnsi="Sylfaen"/>
                <w:sz w:val="18"/>
                <w:szCs w:val="18"/>
                <w:lang w:val="hy-AM"/>
              </w:rPr>
            </w:pPr>
            <w:r w:rsidRPr="0060554E">
              <w:rPr>
                <w:rFonts w:ascii="Sylfaen" w:hAnsi="Sylfaen"/>
                <w:sz w:val="18"/>
                <w:szCs w:val="18"/>
                <w:lang w:val="hy-AM"/>
              </w:rPr>
              <w:t>Многоэлементная калибровочная стандартная смесь Agilent совместимый, для работы AA и ICP-OES, 18 элементов</w:t>
            </w:r>
          </w:p>
        </w:tc>
        <w:tc>
          <w:tcPr>
            <w:tcW w:w="2476" w:type="dxa"/>
            <w:vAlign w:val="center"/>
          </w:tcPr>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Стандартная калибровочная смесь 2 для атомно-абсорбционной спектрометрии (АА) и ICP-OES, совместимая с Agilent, код 6610030600</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18 компонентов: алюминий (Al), мышьяк (As), барий (Ba), бериллий (Be), кадмий (Cd), кобальт (Co), хром (Cr), медь (Cu), марганец (Mn), никель (Ni), свинец (Pb), селен (Se), серебро (Ag), таллий (Tl), торий (Th), уран (U), ванадий (V), цинк (Zn).</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концентрация каждого компонента 100 ppm. Матрица: 5% азотная кислота.</w:t>
            </w:r>
          </w:p>
          <w:p w:rsidR="0060554E" w:rsidRPr="0060554E" w:rsidRDefault="0060554E" w:rsidP="00012C1B">
            <w:pPr>
              <w:rPr>
                <w:rFonts w:ascii="Sylfaen" w:hAnsi="Sylfaen"/>
                <w:sz w:val="18"/>
                <w:szCs w:val="18"/>
                <w:lang w:val="hy-AM"/>
              </w:rPr>
            </w:pPr>
            <w:r w:rsidRPr="0060554E">
              <w:rPr>
                <w:rFonts w:ascii="Sylfaen" w:hAnsi="Sylfaen"/>
                <w:sz w:val="18"/>
                <w:szCs w:val="18"/>
                <w:lang w:val="hy-AM"/>
              </w:rPr>
              <w:t>Объем: 125 мл, полиэтиленовый флакон.</w:t>
            </w:r>
          </w:p>
        </w:tc>
        <w:tc>
          <w:tcPr>
            <w:tcW w:w="1078"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штука</w:t>
            </w:r>
          </w:p>
        </w:tc>
        <w:tc>
          <w:tcPr>
            <w:tcW w:w="957"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1</w:t>
            </w:r>
          </w:p>
        </w:tc>
        <w:tc>
          <w:tcPr>
            <w:tcW w:w="944" w:type="dxa"/>
            <w:vAlign w:val="center"/>
          </w:tcPr>
          <w:p w:rsidR="0060554E" w:rsidRPr="0060554E" w:rsidRDefault="0060554E" w:rsidP="00012C1B">
            <w:pPr>
              <w:ind w:left="-85" w:right="-85"/>
              <w:rPr>
                <w:rFonts w:ascii="Sylfaen" w:hAnsi="Sylfaen"/>
                <w:sz w:val="18"/>
                <w:szCs w:val="18"/>
                <w:lang w:val="hy-AM"/>
              </w:rPr>
            </w:pPr>
            <w:r w:rsidRPr="0060554E">
              <w:rPr>
                <w:rFonts w:ascii="Sylfaen" w:hAnsi="Sylfaen"/>
                <w:sz w:val="18"/>
                <w:szCs w:val="18"/>
                <w:lang w:val="hy-AM"/>
              </w:rPr>
              <w:t>г. Ереван, А. Манукян 1/1</w:t>
            </w:r>
          </w:p>
        </w:tc>
        <w:tc>
          <w:tcPr>
            <w:tcW w:w="1586" w:type="dxa"/>
            <w:vAlign w:val="center"/>
          </w:tcPr>
          <w:p w:rsidR="0060554E" w:rsidRPr="0060554E" w:rsidRDefault="0060554E" w:rsidP="00012C1B">
            <w:pPr>
              <w:jc w:val="center"/>
              <w:rPr>
                <w:rFonts w:ascii="Sylfaen" w:hAnsi="Sylfaen"/>
                <w:color w:val="000000"/>
                <w:sz w:val="16"/>
                <w:szCs w:val="16"/>
                <w:lang w:val="ru-RU"/>
              </w:rPr>
            </w:pPr>
            <w:r w:rsidRPr="0060554E">
              <w:rPr>
                <w:rFonts w:ascii="Sylfaen" w:hAnsi="Sylfaen"/>
                <w:color w:val="000000"/>
                <w:sz w:val="16"/>
                <w:szCs w:val="16"/>
                <w:lang w:val="ru-RU"/>
              </w:rPr>
              <w:t>До 25 декабря 2025 года, после оформления заказа покупателем</w:t>
            </w:r>
          </w:p>
        </w:tc>
      </w:tr>
      <w:tr w:rsidR="0060554E" w:rsidRPr="00877BE1" w:rsidTr="0067222C">
        <w:trPr>
          <w:trHeight w:val="70"/>
          <w:jc w:val="center"/>
        </w:trPr>
        <w:tc>
          <w:tcPr>
            <w:tcW w:w="1435" w:type="dxa"/>
            <w:vAlign w:val="center"/>
          </w:tcPr>
          <w:p w:rsidR="0060554E" w:rsidRPr="0060554E" w:rsidRDefault="0060554E" w:rsidP="00012C1B">
            <w:pPr>
              <w:jc w:val="center"/>
              <w:rPr>
                <w:rFonts w:ascii="Sylfaen" w:hAnsi="Sylfaen"/>
                <w:sz w:val="20"/>
                <w:szCs w:val="24"/>
                <w:lang w:val="hy-AM"/>
              </w:rPr>
            </w:pPr>
            <w:r w:rsidRPr="0060554E">
              <w:rPr>
                <w:rFonts w:ascii="Sylfaen" w:hAnsi="Sylfaen"/>
                <w:sz w:val="20"/>
                <w:szCs w:val="24"/>
                <w:lang w:val="hy-AM"/>
              </w:rPr>
              <w:t>2</w:t>
            </w:r>
          </w:p>
        </w:tc>
        <w:tc>
          <w:tcPr>
            <w:tcW w:w="2076" w:type="dxa"/>
            <w:vAlign w:val="center"/>
          </w:tcPr>
          <w:p w:rsidR="0060554E" w:rsidRPr="0060554E" w:rsidRDefault="0060554E" w:rsidP="00012C1B">
            <w:pPr>
              <w:rPr>
                <w:rFonts w:ascii="Sylfaen" w:hAnsi="Sylfaen"/>
                <w:sz w:val="18"/>
                <w:szCs w:val="18"/>
                <w:lang w:val="hy-AM"/>
              </w:rPr>
            </w:pPr>
            <w:r w:rsidRPr="0060554E">
              <w:rPr>
                <w:rFonts w:ascii="Sylfaen" w:hAnsi="Sylfaen"/>
                <w:sz w:val="18"/>
                <w:szCs w:val="18"/>
                <w:lang w:val="hy-AM"/>
              </w:rPr>
              <w:t>Многоэлементная калибровочная стандартная смесь, совместимая с Agilent, для атомно-абсорбционной спектрометрии (АА) и ICP-OES, 5 элементов</w:t>
            </w:r>
          </w:p>
        </w:tc>
        <w:tc>
          <w:tcPr>
            <w:tcW w:w="2476" w:type="dxa"/>
            <w:vAlign w:val="center"/>
          </w:tcPr>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Стандартная калибровочная смесь для атомно-абсорбционной спектрометрии (АА) и ICP-OES, совместимая с Agilent, код 6610030700</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5 компонентов: кальций (Ca), железо (Fe), магний (Mg), калий (K), натрий (Na)</w:t>
            </w:r>
            <w:r w:rsidRPr="0060554E">
              <w:rPr>
                <w:rFonts w:ascii="Times New Roman" w:hAnsi="Times New Roman"/>
                <w:sz w:val="18"/>
                <w:szCs w:val="18"/>
                <w:lang w:val="hy-AM"/>
              </w:rPr>
              <w:t>․</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каждый в концентрации 500 ppm. Матрица: 5% азотная кислота.</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Объем: 125 мл, полиэтиленовый флакон.</w:t>
            </w:r>
          </w:p>
        </w:tc>
        <w:tc>
          <w:tcPr>
            <w:tcW w:w="1078" w:type="dxa"/>
            <w:vAlign w:val="center"/>
          </w:tcPr>
          <w:p w:rsidR="0060554E" w:rsidRPr="0060554E" w:rsidRDefault="0060554E" w:rsidP="00012C1B">
            <w:pPr>
              <w:jc w:val="center"/>
              <w:rPr>
                <w:rFonts w:ascii="Sylfaen" w:hAnsi="Sylfaen"/>
                <w:sz w:val="18"/>
                <w:szCs w:val="18"/>
                <w:lang w:val="hy-AM"/>
              </w:rPr>
            </w:pPr>
            <w:r w:rsidRPr="0060554E">
              <w:rPr>
                <w:rFonts w:ascii="Sylfaen" w:hAnsi="Sylfaen"/>
                <w:sz w:val="18"/>
                <w:szCs w:val="18"/>
                <w:lang w:val="hy-AM"/>
              </w:rPr>
              <w:t>штука</w:t>
            </w:r>
          </w:p>
        </w:tc>
        <w:tc>
          <w:tcPr>
            <w:tcW w:w="957"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1</w:t>
            </w:r>
          </w:p>
        </w:tc>
        <w:tc>
          <w:tcPr>
            <w:tcW w:w="944" w:type="dxa"/>
            <w:vAlign w:val="center"/>
          </w:tcPr>
          <w:p w:rsidR="0060554E" w:rsidRPr="0060554E" w:rsidRDefault="0060554E" w:rsidP="00012C1B">
            <w:pPr>
              <w:ind w:left="-85" w:right="-85"/>
              <w:rPr>
                <w:rFonts w:ascii="Sylfaen" w:hAnsi="Sylfaen"/>
                <w:sz w:val="18"/>
                <w:szCs w:val="18"/>
                <w:lang w:val="hy-AM"/>
              </w:rPr>
            </w:pPr>
            <w:r w:rsidRPr="0060554E">
              <w:rPr>
                <w:rFonts w:ascii="Sylfaen" w:hAnsi="Sylfaen"/>
                <w:sz w:val="18"/>
                <w:szCs w:val="18"/>
                <w:lang w:val="hy-AM"/>
              </w:rPr>
              <w:t>г. Ереван, А. Манукян 1/1</w:t>
            </w:r>
          </w:p>
        </w:tc>
        <w:tc>
          <w:tcPr>
            <w:tcW w:w="1586" w:type="dxa"/>
            <w:vAlign w:val="center"/>
          </w:tcPr>
          <w:p w:rsidR="0060554E" w:rsidRPr="0060554E" w:rsidRDefault="0060554E" w:rsidP="00012C1B">
            <w:pPr>
              <w:rPr>
                <w:rFonts w:ascii="Sylfaen" w:hAnsi="Sylfaen"/>
                <w:lang w:val="ru-RU"/>
              </w:rPr>
            </w:pPr>
            <w:r w:rsidRPr="0060554E">
              <w:rPr>
                <w:rFonts w:ascii="Sylfaen" w:hAnsi="Sylfaen"/>
                <w:color w:val="000000"/>
                <w:sz w:val="16"/>
                <w:szCs w:val="16"/>
                <w:lang w:val="ru-RU"/>
              </w:rPr>
              <w:t>До 25 декабря 2025 года, после оформления заказа покупателем</w:t>
            </w:r>
          </w:p>
        </w:tc>
      </w:tr>
      <w:tr w:rsidR="0060554E" w:rsidRPr="00877BE1" w:rsidTr="0067222C">
        <w:trPr>
          <w:trHeight w:val="70"/>
          <w:jc w:val="center"/>
        </w:trPr>
        <w:tc>
          <w:tcPr>
            <w:tcW w:w="1435" w:type="dxa"/>
            <w:vAlign w:val="center"/>
          </w:tcPr>
          <w:p w:rsidR="0060554E" w:rsidRPr="0060554E" w:rsidRDefault="0060554E" w:rsidP="00012C1B">
            <w:pPr>
              <w:jc w:val="center"/>
              <w:rPr>
                <w:rFonts w:ascii="Sylfaen" w:hAnsi="Sylfaen"/>
                <w:sz w:val="20"/>
                <w:szCs w:val="24"/>
                <w:lang w:val="hy-AM"/>
              </w:rPr>
            </w:pPr>
            <w:r w:rsidRPr="0060554E">
              <w:rPr>
                <w:rFonts w:ascii="Sylfaen" w:hAnsi="Sylfaen"/>
                <w:sz w:val="20"/>
                <w:szCs w:val="24"/>
                <w:lang w:val="hy-AM"/>
              </w:rPr>
              <w:lastRenderedPageBreak/>
              <w:t>3</w:t>
            </w:r>
          </w:p>
        </w:tc>
        <w:tc>
          <w:tcPr>
            <w:tcW w:w="2076" w:type="dxa"/>
            <w:vAlign w:val="center"/>
          </w:tcPr>
          <w:p w:rsidR="0060554E" w:rsidRPr="0060554E" w:rsidRDefault="0060554E" w:rsidP="00012C1B">
            <w:pPr>
              <w:rPr>
                <w:rFonts w:ascii="Sylfaen" w:hAnsi="Sylfaen"/>
                <w:sz w:val="18"/>
                <w:szCs w:val="18"/>
                <w:lang w:val="hy-AM"/>
              </w:rPr>
            </w:pPr>
            <w:r w:rsidRPr="0060554E">
              <w:rPr>
                <w:rFonts w:ascii="Sylfaen" w:hAnsi="Sylfaen"/>
                <w:sz w:val="18"/>
                <w:szCs w:val="18"/>
                <w:lang w:val="hy-AM"/>
              </w:rPr>
              <w:t>Литий (Li), стандартный раствор одного элемента, совместимый с Agilent, для атомно-абсорбционной спектрометрии (АА) и ICP-OES</w:t>
            </w:r>
          </w:p>
        </w:tc>
        <w:tc>
          <w:tcPr>
            <w:tcW w:w="2476" w:type="dxa"/>
            <w:vAlign w:val="center"/>
          </w:tcPr>
          <w:p w:rsidR="0060554E" w:rsidRPr="0060554E" w:rsidRDefault="0060554E" w:rsidP="00012C1B">
            <w:pPr>
              <w:pStyle w:val="Heading1"/>
              <w:shd w:val="clear" w:color="auto" w:fill="FFFFFF"/>
              <w:spacing w:after="120"/>
              <w:ind w:right="120"/>
              <w:rPr>
                <w:rFonts w:ascii="Sylfaen" w:eastAsia="Times New Roman" w:hAnsi="Sylfaen" w:cs="Times New Roman"/>
                <w:color w:val="auto"/>
                <w:sz w:val="18"/>
                <w:szCs w:val="18"/>
                <w:lang w:val="hy-AM" w:eastAsia="ru-RU"/>
              </w:rPr>
            </w:pPr>
            <w:r w:rsidRPr="0060554E">
              <w:rPr>
                <w:rFonts w:ascii="Sylfaen" w:eastAsia="Times New Roman" w:hAnsi="Sylfaen" w:cs="Times New Roman"/>
                <w:color w:val="auto"/>
                <w:sz w:val="18"/>
                <w:szCs w:val="18"/>
                <w:lang w:val="hy-AM" w:eastAsia="ru-RU"/>
              </w:rPr>
              <w:t>Стандартный раствор лития (Li), концентрация 1000 ppm, совместим с Agilent 5190-8289. Матрица: 5% азотная кислота.</w:t>
            </w:r>
          </w:p>
          <w:p w:rsidR="0060554E" w:rsidRPr="0060554E" w:rsidRDefault="0060554E" w:rsidP="00012C1B">
            <w:pPr>
              <w:pStyle w:val="Heading1"/>
              <w:shd w:val="clear" w:color="auto" w:fill="FFFFFF"/>
              <w:spacing w:before="0" w:after="120"/>
              <w:ind w:right="120"/>
              <w:rPr>
                <w:rFonts w:ascii="Sylfaen" w:eastAsia="Times New Roman" w:hAnsi="Sylfaen" w:cs="Times New Roman"/>
                <w:color w:val="auto"/>
                <w:sz w:val="18"/>
                <w:szCs w:val="18"/>
                <w:lang w:val="hy-AM" w:eastAsia="ru-RU"/>
              </w:rPr>
            </w:pPr>
            <w:r w:rsidRPr="0060554E">
              <w:rPr>
                <w:rFonts w:ascii="Sylfaen" w:eastAsia="Times New Roman" w:hAnsi="Sylfaen" w:cs="Times New Roman"/>
                <w:color w:val="auto"/>
                <w:sz w:val="18"/>
                <w:szCs w:val="18"/>
                <w:lang w:val="hy-AM" w:eastAsia="ru-RU"/>
              </w:rPr>
              <w:t>Объём: 100 мл, полиэтиленовый флакон.</w:t>
            </w:r>
          </w:p>
        </w:tc>
        <w:tc>
          <w:tcPr>
            <w:tcW w:w="1078" w:type="dxa"/>
            <w:vAlign w:val="center"/>
          </w:tcPr>
          <w:p w:rsidR="0060554E" w:rsidRPr="0060554E" w:rsidRDefault="0060554E" w:rsidP="00012C1B">
            <w:pPr>
              <w:rPr>
                <w:rFonts w:ascii="Sylfaen" w:hAnsi="Sylfaen"/>
                <w:sz w:val="18"/>
                <w:szCs w:val="18"/>
                <w:lang w:val="hy-AM"/>
              </w:rPr>
            </w:pPr>
            <w:r w:rsidRPr="0060554E">
              <w:rPr>
                <w:rFonts w:ascii="Sylfaen" w:hAnsi="Sylfaen"/>
                <w:sz w:val="18"/>
                <w:szCs w:val="18"/>
                <w:lang w:val="hy-AM"/>
              </w:rPr>
              <w:t>штука</w:t>
            </w:r>
          </w:p>
        </w:tc>
        <w:tc>
          <w:tcPr>
            <w:tcW w:w="957" w:type="dxa"/>
            <w:vAlign w:val="center"/>
          </w:tcPr>
          <w:p w:rsidR="0060554E" w:rsidRPr="00877BE1" w:rsidRDefault="00877BE1" w:rsidP="00012C1B">
            <w:pPr>
              <w:ind w:left="34" w:right="34"/>
              <w:jc w:val="center"/>
              <w:rPr>
                <w:rFonts w:ascii="Sylfaen" w:hAnsi="Sylfaen"/>
                <w:sz w:val="18"/>
                <w:szCs w:val="18"/>
              </w:rPr>
            </w:pPr>
            <w:r>
              <w:rPr>
                <w:rFonts w:ascii="Sylfaen" w:hAnsi="Sylfaen"/>
                <w:sz w:val="18"/>
                <w:szCs w:val="18"/>
              </w:rPr>
              <w:t>1</w:t>
            </w:r>
            <w:bookmarkStart w:id="0" w:name="_GoBack"/>
            <w:bookmarkEnd w:id="0"/>
          </w:p>
        </w:tc>
        <w:tc>
          <w:tcPr>
            <w:tcW w:w="944" w:type="dxa"/>
            <w:vAlign w:val="center"/>
          </w:tcPr>
          <w:p w:rsidR="0060554E" w:rsidRPr="0060554E" w:rsidRDefault="0060554E" w:rsidP="00012C1B">
            <w:pPr>
              <w:rPr>
                <w:rFonts w:ascii="Sylfaen" w:hAnsi="Sylfaen"/>
                <w:sz w:val="18"/>
                <w:szCs w:val="18"/>
                <w:lang w:val="hy-AM"/>
              </w:rPr>
            </w:pPr>
            <w:r w:rsidRPr="0060554E">
              <w:rPr>
                <w:rFonts w:ascii="Sylfaen" w:hAnsi="Sylfaen"/>
                <w:sz w:val="18"/>
                <w:szCs w:val="18"/>
                <w:lang w:val="hy-AM"/>
              </w:rPr>
              <w:t>г. Ереван, А. Манукян 1/1</w:t>
            </w:r>
          </w:p>
        </w:tc>
        <w:tc>
          <w:tcPr>
            <w:tcW w:w="1586" w:type="dxa"/>
            <w:vAlign w:val="center"/>
          </w:tcPr>
          <w:p w:rsidR="0060554E" w:rsidRPr="0060554E" w:rsidRDefault="0060554E" w:rsidP="00012C1B">
            <w:pPr>
              <w:rPr>
                <w:rFonts w:ascii="Sylfaen" w:hAnsi="Sylfaen"/>
                <w:lang w:val="ru-RU"/>
              </w:rPr>
            </w:pPr>
            <w:r w:rsidRPr="0060554E">
              <w:rPr>
                <w:rFonts w:ascii="Sylfaen" w:hAnsi="Sylfaen"/>
                <w:color w:val="000000"/>
                <w:sz w:val="16"/>
                <w:szCs w:val="16"/>
                <w:lang w:val="ru-RU"/>
              </w:rPr>
              <w:t>До 25 декабря 2025 года, после оформления заказа покупателем</w:t>
            </w:r>
          </w:p>
        </w:tc>
      </w:tr>
      <w:tr w:rsidR="0060554E" w:rsidRPr="00877BE1" w:rsidTr="0067222C">
        <w:trPr>
          <w:trHeight w:val="70"/>
          <w:jc w:val="center"/>
        </w:trPr>
        <w:tc>
          <w:tcPr>
            <w:tcW w:w="1435" w:type="dxa"/>
            <w:vAlign w:val="center"/>
          </w:tcPr>
          <w:p w:rsidR="0060554E" w:rsidRPr="0060554E" w:rsidRDefault="0060554E" w:rsidP="00012C1B">
            <w:pPr>
              <w:jc w:val="center"/>
              <w:rPr>
                <w:rFonts w:ascii="Sylfaen" w:hAnsi="Sylfaen"/>
                <w:sz w:val="20"/>
                <w:szCs w:val="24"/>
                <w:lang w:val="hy-AM"/>
              </w:rPr>
            </w:pPr>
            <w:r w:rsidRPr="0060554E">
              <w:rPr>
                <w:rFonts w:ascii="Sylfaen" w:hAnsi="Sylfaen"/>
                <w:sz w:val="20"/>
                <w:szCs w:val="24"/>
                <w:lang w:val="hy-AM"/>
              </w:rPr>
              <w:t>4</w:t>
            </w:r>
          </w:p>
        </w:tc>
        <w:tc>
          <w:tcPr>
            <w:tcW w:w="2076" w:type="dxa"/>
            <w:vAlign w:val="center"/>
          </w:tcPr>
          <w:p w:rsidR="0060554E" w:rsidRPr="0060554E" w:rsidRDefault="0060554E" w:rsidP="00012C1B">
            <w:pPr>
              <w:rPr>
                <w:rFonts w:ascii="Sylfaen" w:hAnsi="Sylfaen"/>
                <w:sz w:val="18"/>
                <w:szCs w:val="18"/>
                <w:lang w:val="hy-AM"/>
              </w:rPr>
            </w:pPr>
            <w:r w:rsidRPr="0060554E">
              <w:rPr>
                <w:rFonts w:ascii="Sylfaen" w:hAnsi="Sylfaen"/>
                <w:sz w:val="18"/>
                <w:szCs w:val="18"/>
                <w:lang w:val="hy-AM"/>
              </w:rPr>
              <w:t>Ртуть (Hg), стандартный раствор одного элемента, совместимый с Agilent, для атомно-абсорбционной спектрометрии (АА) и ICP-OES</w:t>
            </w:r>
          </w:p>
        </w:tc>
        <w:tc>
          <w:tcPr>
            <w:tcW w:w="2476" w:type="dxa"/>
            <w:vAlign w:val="center"/>
          </w:tcPr>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Стандартный раствор ртути (Hg), концентрация 1000 ppm, совместимый с Agilent 5190-8295. Матрица: 5% азотная кислота.</w:t>
            </w:r>
          </w:p>
          <w:p w:rsidR="0060554E" w:rsidRPr="0060554E" w:rsidRDefault="0060554E" w:rsidP="00012C1B">
            <w:pPr>
              <w:ind w:left="34" w:right="34"/>
              <w:rPr>
                <w:rFonts w:ascii="Sylfaen" w:hAnsi="Sylfaen"/>
                <w:sz w:val="18"/>
                <w:szCs w:val="18"/>
                <w:lang w:val="hy-AM"/>
              </w:rPr>
            </w:pPr>
            <w:r w:rsidRPr="0060554E">
              <w:rPr>
                <w:rFonts w:ascii="Sylfaen" w:hAnsi="Sylfaen"/>
                <w:sz w:val="18"/>
                <w:szCs w:val="18"/>
                <w:lang w:val="hy-AM"/>
              </w:rPr>
              <w:t>Объём: 100 мл, полиэтиленовый флакон.</w:t>
            </w:r>
          </w:p>
        </w:tc>
        <w:tc>
          <w:tcPr>
            <w:tcW w:w="1078" w:type="dxa"/>
            <w:vAlign w:val="center"/>
          </w:tcPr>
          <w:p w:rsidR="0060554E" w:rsidRPr="0060554E" w:rsidRDefault="0060554E" w:rsidP="00012C1B">
            <w:pPr>
              <w:rPr>
                <w:rFonts w:ascii="Sylfaen" w:hAnsi="Sylfaen"/>
                <w:sz w:val="18"/>
                <w:szCs w:val="18"/>
                <w:lang w:val="hy-AM"/>
              </w:rPr>
            </w:pPr>
            <w:r w:rsidRPr="0060554E">
              <w:rPr>
                <w:rFonts w:ascii="Sylfaen" w:hAnsi="Sylfaen"/>
                <w:sz w:val="18"/>
                <w:szCs w:val="18"/>
                <w:lang w:val="hy-AM"/>
              </w:rPr>
              <w:t>штука</w:t>
            </w:r>
          </w:p>
        </w:tc>
        <w:tc>
          <w:tcPr>
            <w:tcW w:w="957" w:type="dxa"/>
            <w:vAlign w:val="center"/>
          </w:tcPr>
          <w:p w:rsidR="0060554E" w:rsidRPr="0060554E" w:rsidRDefault="0060554E" w:rsidP="00012C1B">
            <w:pPr>
              <w:ind w:left="34" w:right="34"/>
              <w:jc w:val="center"/>
              <w:rPr>
                <w:rFonts w:ascii="Sylfaen" w:hAnsi="Sylfaen"/>
                <w:sz w:val="18"/>
                <w:szCs w:val="18"/>
                <w:lang w:val="hy-AM"/>
              </w:rPr>
            </w:pPr>
            <w:r w:rsidRPr="0060554E">
              <w:rPr>
                <w:rFonts w:ascii="Sylfaen" w:hAnsi="Sylfaen"/>
                <w:sz w:val="18"/>
                <w:szCs w:val="18"/>
                <w:lang w:val="hy-AM"/>
              </w:rPr>
              <w:t>1</w:t>
            </w:r>
          </w:p>
        </w:tc>
        <w:tc>
          <w:tcPr>
            <w:tcW w:w="944" w:type="dxa"/>
            <w:vAlign w:val="center"/>
          </w:tcPr>
          <w:p w:rsidR="0060554E" w:rsidRPr="0060554E" w:rsidRDefault="0060554E" w:rsidP="00012C1B">
            <w:pPr>
              <w:rPr>
                <w:rFonts w:ascii="Sylfaen" w:hAnsi="Sylfaen"/>
                <w:sz w:val="18"/>
                <w:szCs w:val="18"/>
                <w:lang w:val="hy-AM"/>
              </w:rPr>
            </w:pPr>
            <w:r w:rsidRPr="0060554E">
              <w:rPr>
                <w:rFonts w:ascii="Sylfaen" w:hAnsi="Sylfaen"/>
                <w:sz w:val="18"/>
                <w:szCs w:val="18"/>
                <w:lang w:val="hy-AM"/>
              </w:rPr>
              <w:t>г. Ереван, А. Манукян 1/1</w:t>
            </w:r>
          </w:p>
        </w:tc>
        <w:tc>
          <w:tcPr>
            <w:tcW w:w="1586" w:type="dxa"/>
            <w:vAlign w:val="center"/>
          </w:tcPr>
          <w:p w:rsidR="0060554E" w:rsidRPr="0060554E" w:rsidRDefault="0060554E" w:rsidP="00012C1B">
            <w:pPr>
              <w:rPr>
                <w:rFonts w:ascii="Sylfaen" w:hAnsi="Sylfaen"/>
                <w:lang w:val="ru-RU"/>
              </w:rPr>
            </w:pPr>
            <w:r w:rsidRPr="0060554E">
              <w:rPr>
                <w:rFonts w:ascii="Sylfaen" w:hAnsi="Sylfaen"/>
                <w:color w:val="000000"/>
                <w:sz w:val="16"/>
                <w:szCs w:val="16"/>
                <w:lang w:val="ru-RU"/>
              </w:rPr>
              <w:t>До 25 декабря 2025 года, после оформления заказа покупателем</w:t>
            </w:r>
          </w:p>
        </w:tc>
      </w:tr>
    </w:tbl>
    <w:p w:rsidR="0060554E" w:rsidRPr="0060554E" w:rsidRDefault="0060554E" w:rsidP="0060554E">
      <w:pPr>
        <w:spacing w:line="276" w:lineRule="auto"/>
        <w:ind w:right="-384"/>
        <w:jc w:val="both"/>
        <w:rPr>
          <w:rFonts w:ascii="Sylfaen" w:hAnsi="Sylfaen" w:cs="Arial"/>
          <w:szCs w:val="24"/>
          <w:lang w:val="pt-BR"/>
        </w:rPr>
      </w:pPr>
    </w:p>
    <w:p w:rsidR="0060554E" w:rsidRPr="0060554E" w:rsidRDefault="0060554E" w:rsidP="0060554E">
      <w:pPr>
        <w:spacing w:after="160" w:line="259" w:lineRule="auto"/>
        <w:rPr>
          <w:rFonts w:ascii="Sylfaen" w:hAnsi="Sylfaen" w:cs="Arial"/>
          <w:szCs w:val="24"/>
          <w:lang w:val="pt-BR"/>
        </w:rPr>
      </w:pPr>
      <w:r w:rsidRPr="0060554E">
        <w:rPr>
          <w:rFonts w:ascii="Sylfaen" w:hAnsi="Sylfaen" w:cs="Arial"/>
          <w:szCs w:val="24"/>
          <w:lang w:val="pt-BR"/>
        </w:rPr>
        <w:br w:type="page"/>
      </w:r>
    </w:p>
    <w:p w:rsidR="00152645" w:rsidRPr="0060554E" w:rsidRDefault="00877BE1">
      <w:pPr>
        <w:rPr>
          <w:rFonts w:ascii="Sylfaen" w:hAnsi="Sylfaen"/>
          <w:lang w:val="pt-BR"/>
        </w:rPr>
      </w:pPr>
    </w:p>
    <w:sectPr w:rsidR="00152645" w:rsidRPr="006055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916"/>
    <w:rsid w:val="000D00C8"/>
    <w:rsid w:val="001814D5"/>
    <w:rsid w:val="0060554E"/>
    <w:rsid w:val="00633916"/>
    <w:rsid w:val="0067222C"/>
    <w:rsid w:val="0087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30798"/>
  <w15:chartTrackingRefBased/>
  <w15:docId w15:val="{0E9B0D4A-6E50-4732-89C5-17A4E35E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54E"/>
    <w:pPr>
      <w:spacing w:after="0" w:line="240" w:lineRule="auto"/>
    </w:pPr>
    <w:rPr>
      <w:rFonts w:ascii="Times Armenian" w:eastAsia="Times New Roman" w:hAnsi="Times Armenian" w:cs="Times New Roman"/>
      <w:sz w:val="24"/>
      <w:szCs w:val="20"/>
      <w:lang w:eastAsia="ru-RU"/>
    </w:rPr>
  </w:style>
  <w:style w:type="paragraph" w:styleId="Heading1">
    <w:name w:val="heading 1"/>
    <w:basedOn w:val="Normal"/>
    <w:next w:val="Normal"/>
    <w:link w:val="Heading1Char"/>
    <w:uiPriority w:val="9"/>
    <w:qFormat/>
    <w:rsid w:val="0060554E"/>
    <w:pPr>
      <w:keepNext/>
      <w:keepLines/>
      <w:spacing w:before="240"/>
      <w:outlineLvl w:val="0"/>
    </w:pPr>
    <w:rPr>
      <w:rFonts w:asciiTheme="majorHAnsi" w:eastAsiaTheme="majorEastAsia" w:hAnsiTheme="majorHAnsi" w:cstheme="majorBidi"/>
      <w:color w:val="2E74B5"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554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60554E"/>
    <w:pPr>
      <w:spacing w:after="0" w:line="240" w:lineRule="auto"/>
    </w:pPr>
    <w:rPr>
      <w:rFonts w:ascii="GHEA Grapalat" w:hAnsi="GHEA Grapalat"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igmaaldrich.com/AM/en/search/77-58-7?focus=products&amp;page=1&amp;perpage=30&amp;sort=relevance&amp;term=77-58-7&amp;type=cas_number" TargetMode="External"/><Relationship Id="rId4" Type="http://schemas.openxmlformats.org/officeDocument/2006/relationships/hyperlink" Target="https://www.sigmaaldrich.com/AM/en/search/77-58-7?focus=products&amp;page=1&amp;perpage=30&amp;sort=relevance&amp;term=77-58-7&amp;type=cas_numb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850</Words>
  <Characters>4847</Characters>
  <Application>Microsoft Office Word</Application>
  <DocSecurity>0</DocSecurity>
  <Lines>40</Lines>
  <Paragraphs>11</Paragraphs>
  <ScaleCrop>false</ScaleCrop>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Makaryan</dc:creator>
  <cp:keywords/>
  <dc:description/>
  <cp:lastModifiedBy>Alla Makaryan</cp:lastModifiedBy>
  <cp:revision>6</cp:revision>
  <dcterms:created xsi:type="dcterms:W3CDTF">2025-10-31T07:09:00Z</dcterms:created>
  <dcterms:modified xsi:type="dcterms:W3CDTF">2025-10-31T07:25:00Z</dcterms:modified>
</cp:coreProperties>
</file>