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 xml:space="preserve">^rate_usd^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սպիտակեղեն/փափուկ գույք/, հագուստ և համազգեստ
ա/ աղտոտված, այդ թվում նաև ինֆեկցված (ՁԻԱՀ–ի, covid-19 և այլ վտանգավոր վարակով ախտոտված սպիտակեղեն)․արյունոտ սպիտակեղեն /սավան, բարձի երես, վերմակածրար, վերմակ, ներքնակ, բարձ,(անհրաժեշտության դեպքում նաև բարձի քիմ. մաքրում) սրբիչ, վերնաշապիկ, ներքնաշապիկ, վարտիք, փոխան, խալաթ, ննջազգեստ, տաք հագուստ, անդրավարտիք, շերտավարագույր,  բժշկական արտահագուստ: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հանձնում-ընդունումը կատարի կենտրոնի ընդունման կետում անկախ տեղակայումից:
բ/աղտոտված, ինֆեկցված և արյունոտ  սպիտակեղենը ընդունել և հանձնել երկուշաբթի, չորեքշաբթի և ուրբաթ օրերին առավոտյան ժ. 10:00-11:00
ինչպես նաև պատվիրատուի պահանջով՝ շտապ դեպքերում/ամսվա ընթացքում տաս անգամից ոչ ավել/,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160 լիտրին համարժեք տարողությամբ միանվագ օգտագործման պոլիէթիլենային պարկեր կեղտոտ սպիտակեղենի հավաքման  համար:
Կատարողը պատասխանատվություն է կրում սպիտակեղենի կորստի, նյութերի անորակության կամ սխալ կիրառման արդյունքում առաջացած գունազրկումների, պատռվածքների (լաքաների) համար և պարտավոր է դրանք փոխարինել նույնանման նոր սպիտակեղենով:
         Ծառայության գնման քանակը կախված է տվյալ ամիս բուժվող հիվանդների քանակից,  սահմանվում է Պատվիրատուի կողմից՝ իր նախնական բանավոր հայտի հիման վրա: 
Եթե պայմանագրի գործողության ընթացքում Կատարողի կողմից ծառայության մատուցումը իրականացվել է ոչ ամբողջ խմբաքանակի համար, ապա պայմանագիրը գնման առարկայի չմատուցված, մնացորդային խմբաքանակի մասով լուծվում է:
վճարումը կատարվելու է փաստացի կատարված ծառայության դիմաց՝ համաձայն տվյալ ամսվա ընդունման-հանձնման արձանագրության: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