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Օրդուխանյան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16613520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ՀՓ-ԷԱՃԱՊՁԲ-25/87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ՀՓ-ԷԱՃԱՊՁԲ-25/87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Լիզինգառուն իրեն հանձնած ապրանքի ժամանակավոր օգտագործման և  տիրապետման դիմաց Լիզինգատուին վճարում է ՀՀ դրամով անկանխիկ` դրամական միջոցները Լիզինգատուի հաշվարկային հաշվին փոխանցելու միջոցով՝ համաձայն կնքվելիք լիզինգի պայմանգրի անբաժանելի մաս հանդիսացող վճարման ժամանակացույցի։ Դրամական միջոցների փոխանցումը կատարվում է Լիզինգի պայմանագրի վճարման  ժամանակացույցով նախատեսված ամիսներին , բայց ոչ ուշ, քան մինչև տվյալ տարվա դեկտեմբերի 20-ը ։</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Լիզինգառուի կողմից ապրանքն ընդունվելու օրվան հաջորդող օրվանից հաշված  1826  օրացուցային օրը կամ 150000 -200000 կմ վազք:  Եթե երաշխիքային ժամկետի ընթացքում ի հայտ են եկել մատակարարված ապրանքի թերություններ, ապա Վաճառողը պարտավոր է իր հաշվին, Գնորդ/ Լիզինգատուի և/կամ Լիզինգառուի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դեպքում Վաճառողը Լիզինգառուին ներկայացնում է նաև ապրանքն արտադրողից կամ վերջինիս ներկայացուցչից երաշխիքային նամակի կամ համապատասխանության սերտիֆիկատ:</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մեքենան պետք է ունենա հետևյալ չափորոշիչները՝
Շարժիչի ծավալ(լ)՝ 1.8 -2.0,
Նստատեղ՝ 2,
Վառելիքի տեսակ՝ բենզինային,
Շարժիչի հզորություն (ձ/ուժ–Պտ/ր)՝ 130-140/5600-5700,
Փոխանցման տուփը՝ մեխանիկական՝ 5 աստիճան,
Երկարություն(մմ)՝ 5000-5200,
Լայնություն(մմ)՝ 1770-1810,
Բարձրություն(մմ)՝ 1860-1920:
Բեռնախցիկը՝
Երկարություն(մմ)՝ առնվազն՝ 2550-2650,
Լայնություն(մմ)՝ 1500-1580,
Բարձրություն(մմ)՝ 1250-1310:
Տ/Մ-ի դատարկ քաշ(կգ)՝ 1600-1650,
Տ/Մ-ի ծանրաբեռնված քաշ(կգ)՝ 2400-2500,
Բեռնատարողունակությունը(կգ)՝ 840-950,
Ճանապարհային բարձրություն(մմ)՝ 120-150,
Անիվային բազա(մմ)՝ 2975-3100,
Բեռնախցիկի տարողունակություն(մ3)՝  4,88-5,2,
Վառելիքի բաքի տարողունակությունն առնվազն(լ)՝ 55 – 65:
Մեքենան նաև պետք է ունենա՝
Անվտանգության բարձիկներ՝ վարորդի և ուղևորի համար, ակտիվ գլխհենակներ, արգելակման ABS համակարգ, կենտրոնական փական, իմմոբիլայզեր, հեռակառավարմամբ բանալի, ձեռքհենակներ, ղեկը էլ.ուժեղացուցիչով, ղեկը կարգավորվող (բարձրություն), մեխանիկական կոնդիցիոներ, հակամառախուղային լուսարձակներ, սրահը՝ կտոր, արգելակման հետնամասի 3-րդ լուսարձակ, Radio, MP3, AUX, Bluetooth, երկաթե անվահեծ-16, լիաչափ պահեստայի երկաթե անվահեծ:
Մեքենան պետք է ունենա երաշխիք՝ 5 տարի ժամկետով կամ 150000-200000 կմ, որում կներառվեն առնվազն շարժիչի, փոխանցման տուփի և կամրջակի սպասարկումներ:
Մեքենան պետք է լինի՝ 2024-2025 թվական:
** Մասնակիցը դիմում հայտարարության հետ միասին ներկայացնում է  նաև կցված հավելված 2-ը, Հակադարձ աճուրդի արդյունքներից ելնելով՝ հաղթող մասնակիցը պարտավոր է 1 աշխատանքային օրում ներկայացնել աճուրդի վերջնական արժեքով հավելված 2:
***Մասնակիցը պետք է ներկայացնի բանկի կողմից տրամադրվող հավաստում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 մեքենան պետք է ունենա հետևյալ չափորոշիչները՝
Շարժիչի ծավալ(լ)՝ 1.6-1.8, բենզինային, 
Նստատեղ՝ 2,
Մխոցների թիվը՝ 4 շարային, 8 փական,
Առավելագույն հզորությունը, ձ/ուժ՝ 70-100
Փոխանցման տուփը՝ մեխանիկական՝ 5 աստիճան,
Երկարություն(մմ)՝ 4400-4500,
Լայնություն(մմ)՝ 1700-1780,
Բարձրություն(մմ)՝ 1600-1680,
Քաշը(կգ)՝ 1080-1300,
Անիվային բազան՝ 2800-2910,
Բեռնատարողությունը՝ 600-800,
Անիվներ՝ 180-185/60-65R15-16,
Վառելիքի ծախս՝ 7.0-8.3
Վռելիքի բաքի տարողություն՝ 50-60 լ.
Մեքենան նաև պետք է ունենա՝
Հիդրավլիկ ղեկ, օդորակիչ, կենտրոնական փական, անվտանգության համակարգ, անվտանգության բարձիկ, առջևի ապակիներն էլեկտրակառավարմամբ, սրահը՝ կտոր, բեռնախցիկի լուսավորում, իմոբիլայզեր, պահեստային լիաչափ անվադող, առջևի քարշակ: Պետք է ունենա երշխիքային սպասարկում՝ 3 տարի, կամ 100000 կմ. վազք: Մեքենան պետք է լինի 2024-2025 թվական:
** Մասնակիցը դիմում հայտարարության հետ միասին ներկայացնում է  նաև կցված հավելված 2-ը, Հակադարձ աճուրդի արդյունքներից ելնելով՝ հաղթող մասնակիցը պարտավոր է 1 աշխատանքային օրում ներկայացնել աճուրդի վերջնական արժեքով հավելված 2:
***Մասնակիցը պետք է ներկայացնի բանկի կողմից տրամադրվող հավաստում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Լիզինգի եռակողմ պայմանագիրը կնքվելուց հետո, համաձայնագրի կնքումից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Լիզինգի եռակողմ պայմանագիրը կնքվելուց հետո, համաձայնագրի կնքումից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