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ՀՀ-ՊԵԿ-ԷԱՃԱՊՁԲ-26/4-Ք</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ՀՀ-ՊԵԿ-ԷԱՃԱՊՁԲ-26/4-Ք</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ՀՀ-ՊԵԿ-ԷԱՃԱՊՁԲ-26/4-Ք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382.48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440.27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ՀՀ-ՊԵԿ-ԷԱՃԱՊՁԲ-26/4-Ք</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ՀՀ-ՊԵԿ-ԷԱՃԱՊՁԲ-26/4-Ք</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ՀՀ-ՊԵԿ-ԷԱՃԱՊՁԲ-26/4-Ք</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ՀՀ-ՊԵԿ-ԷԱՃԱՊՁԲ-26/4-Ք</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«ՀՀ-ՊԵԿ-ԷԱՃԱՊՁԲ-26/4-Ք»*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ՀՀ-ՊԵԿ-ԷԱՃԱՊՁԲ-26/4-Ք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«ՀՀ-ՊԵԿ-ԷԱՃԱՊՁԲ-26/4-Ք»*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«ՀՀ-ՊԵԿ-ԷԱՃԱՊՁԲ-26/4-Ք»*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ՀՀ-ՊԵԿ-ԷԱՃԱՊՁԲ-26/4-Ք*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ՀՀ-ՊԵԿ-ԷԱՃԱՊՁԲ-26/4-Ք</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«ՀՀ-ՊԵԿ-ԷԱՃԱՊՁԲ-26/4-Ք»*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ՀՀ-ՊԵԿ-ԷԱՃԱՊՁԲ-26/4-Ք*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կանոնակարգի:Լրացուցիչ պայմաններ՝
*Ապրանքի մատակարարումն իրականացվում է կտրոնային եղանակով: Վառելիքի կտրոնների տեղափոխումն իրականացնում է մատակարարը: Կտրոնների վրա նշված պիտանելիության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Հաղթող կազմակերպության կողմից տրամադրված կտրոնները պետք է սպասարկվեն ՀՀ ողջ տարածքում կամ/եթե հաղթող կազմակերպությունը չունի ՀՀ ողջ տարածքում լցակայաններ, ապա պետք է ներկայացնի լցակայանների ցանկը հասցեներով ըստ մարզերի եվ համայնքների, որտեղ իր կողմից տրամադրված կտրոններով պատվիրատուի մեքենաները կարող են լիցքավորվել համապատասխան կտրոնի վրա նշված լիտրաժով:
**** Գնման գործընթացը կազմակերպվում է «Գնումների մասին» ՀՀ օրենքի 15-րդ հոդվածի 6-րդ մասով: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