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на IV квартал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ՄՏԲԿ-ԷԱՃԱՊՁԲ-25/26</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на IV квартал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на IV квартал</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на IV квартал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Нечетное число определяется методом исследования, не менее 91. Не менее 81 автомобиля. Содержание свинца не превышает 5 мг / дм3. Плотность при температуре 15 0 С составляет 720-775 кг / м 3. Содержание серы не более 10 мг / кг. Объемная доля углеводов не более ароматических - 21%, олефинов - 21%, углекислого газа - не более 1%. Массовая доля кислорода - не более 2,7%. Содержание щавелевой кислоты в оксидах - 3%, этаноле - 5%, изопропиловом спирте - 10%, изобутиловом спирте - 10%, триабутиловом спирте - 7%, эфире (C5 и выше) - 15%, других оксидах - , Безопасность, маркировка и упаковка утвержденный Решением N 1592-N от Правительства РА  11 ноября  2004 года. «Технический регламент на топливо для двигателей внутреннего сгорания», Поставка, купон. Купоны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