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ՀՀՇՄԳՀՀԿՀ-ԷԱՃԱՊՁԲ-77/25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աշխատակազմ ՀԿՀ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Ավդալյան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ani_avdalyan94@mail.ru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ՀՀՇՄԳՀՀԿՀ-ԷԱՃԱՊՁԲ-77/25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աշխատակազմ ՀԿՀ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աշխատակազմ ՀԿՀ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ՀՀՇՄԳՀՀԿՀ-ԷԱՃԱՊՁԲ-77/25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ani_avdalyan94@mail.ru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աշխատակազմ ՀԿՀ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ՀՀՇՄԳՀՀԿՀ-ԷԱՃԱՊՁԲ-77/25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ՀՀՇՄԳՀՀԿՀ-ԷԱՃԱՊՁԲ-77/25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«ՀՀՇՄԳՀՀԿՀ-ԷԱՃԱՊՁԲ-77/25»*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«ՀՀՇՄԳՀՀԿՀ-ԷԱՃԱՊՁԲ-77/25»*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