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ՀՀՇՄԳՀՀԿՀ-ԷԱՃԱՊՁԲ-77/25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աշխատակազմ ՀԿՀ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Ավդալյան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ani_avdalyan94@mail.ru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ՀՀՇՄԳՀՀԿՀ-ԷԱՃԱՊՁԲ-77/25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աշխատակազմ ՀԿՀ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աշխատակազմ ՀԿՀ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ՀՀՇՄԳՀՀԿՀ-ԷԱՃԱՊՁԲ-77/25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ani_avdalyan94@mail.ru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աշխատակազմ ՀԿՀ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ՀՀՇՄԳՀՀԿՀ-ԷԱՃԱՊՁԲ-77/25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ՀՀՇՄԳՀՀԿՀ-ԷԱՃԱՊՁԲ-77/25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«ՀՀՇՄԳՀՀԿՀ-ԷԱՃԱՊՁԲ-77/25»*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ՀՀՇՄԳՀՀԿՀ-ԷԱՃԱՊՁԲ-77/25*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«ՀՀՇՄԳՀՀԿՀ-ԷԱՃԱՊՁԲ-77/25»*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ՀՀՇՄԳՀՀԿՀ-ԷԱՃԱՊՁԲ-77/25*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չկավճած թուղթ, թելիկներ չպարունակող,խտությունը  80 գ/մ2, սպիտակությունը ոչ պակաս՝ 96% , տուփը 500 թերթ: Տուփի քաշը ոչ պակաս 2,49կգ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չափի թղթապանակ, բաղկացած 40 ֆայլերից: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2HB/մուգ/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20 թերթ
52 մմ կոկորդի խորություն
Loading Capacity 50/100,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մեծ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 Մկրատ գրասենյակային, մետաղյա, սուր ծայրով, պլաստմասե բռնակով, 18-20 սմ երկարությամբ,կտրող մասի երկարությունը 11-12սմ Ապրանքը պետք է լինի նոր, չօգտագործված:"Քանոն 30սմ 2մմ հաստությամբ,գծաբաժանումներով,  երկարությունը 30 սմ, լայնությունը 30մմ, պլաստմասե,թափանցիկ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ցանցով գրչատուփեր 4 գրպանով, բարձրությունը առնվազն 10սմ, երկարությունը՝ 20.5սմ, լայնությունը՝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30մլ., կապույտ գույնի: Berlingo, Horse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վանդակավոր և տողանի, առնվազն 96 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տողերով, 70-100 էջ, տողանի, սպիտակ էջերով:վ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տարբեր գույների, թղթերի վրա նշումներ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76մմ*76մմ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տուփում առնվազն 20 հատ,ընդամենը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 հարկից, գրասենյակային թղթադարակ. A4 ֆորմատի թղթերը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