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բենզին ռեգուլյարի / կտրոնով/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vardenisibk@mail.ru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բենզին ռեգուլյարի / կտրոնով/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բենզին ռեգուլյարի / կտրոնով/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բենզին ռեգուլյարի / կտրոնով/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2025.11.24.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եռաբութիլսպիրտ-7 %, եթերներ (C5 և ավելի)-15 %, այլ օքսիդիչներ-10 %, անվտանգությունը, մակնշումը և փաթեթավորումը` ըստ ՀՀ կառավարության 2004թ. նոյեմբերի 11-իN 1592-Ն որոշմամբ հաստատված «Ներքին այրման շարժիչային վառելիքների տեխնիկական կանոնակարգի» Մատակարարումը`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