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ՓԲԸ-ի  կարիքների համար լուսարձակների  ձեռքբերման նպատակով ԷԷՀՕ-ԷԱՃԱՊՁԲ-25/11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«Էլեկտրաէներգետիկական համակարգի օպերատոր» ՓԲԸ-ի  կարիքների համար լուսարձակների  ձեռքբերման նպատակով ԷԷՀՕ-ԷԱՃԱՊՁԲ-25/11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«Էլեկտրաէներգետիկական համակարգի օպերատոր» ՓԲԸ-ի  կարիքների համար լուսարձակների  ձեռքբերման նպատակով ԷԷՀՕ-ԷԱՃԱՊՁԲ-25/11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«Էլեկտրաէներգետիկական համակարգի օպերատոր» ՓԲԸ-ի  կարիքների համար լուսարձակների  ձեռքբերման նպատակով ԷԷՀՕ-ԷԱՃԱՊՁԲ-25/11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SR-FLLY-100W40K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SR-FLLY-50W40K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«ԷԼԵԿՏՐԱԷՆԵՐԳԵՏԻԿԱԿԱՆ ՀԱՄԱԿԱՐԳԻ ՕՊԵՐԱՏՈՐ»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SR-FLLY-100W40K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Արտիկուլ՝ SR-FLLY-
100W40K
Լուսատուի Իրանը
ալյումինե
Լուսատուի գույնը՝
մոխրագույն
Տեսակը՝ արտաքին
շարժական
սպառվող հզորություն
(ՎS) 100W
Լուսային հոսք՝
(LՄ)11500LM
Լուսատուի տեսակը
SMD2835
Գունային
Ջերմաստիճան (C)-
4000K
Լույսի ցրման անկյունը՝
120⁰
Սնուցման լարումը՝ AC100-277V
Հզորության գործակից (PF)≥0.9
Ցանցի
Հաճախականություն
(Hz)50/60
Գունափոխանցման գործակից (Ra)»80
Պաշտպանվածություն
Աստիճանը (IP)66
ջերմադիմացկունություն
(C)-20⁰ C/+50⁰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SR-FLLY-50W40K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Արտիկուլ՝ SR-FLLY-
50W40K
Լուսատուի իրանը՝
ալյումինե,
Լուսատուի գույնը՝
մոխրագույն,
Տեսակը՝ արտաքին,
շարժական
Սպառվող հզորություն
(ՎՏ) 50W
Լուսային հոսք՝
(LՄ) 5750LM
Լուսատուի տեսակը
SMD2835
Գունային
Ջերմաստիճան (C)-4000K
Լուսային անկյան տակ 120⁰
Սնուցման լարումը՝
AC100-277V
Հզորության գործակից
(PF)≥0.9
ցանցի
աճախականություն
(Hz)50/60
գունափոխանցման
գործակից (Ra)»80
Պաշտպանվածության
աստիճանը (IP)66
Ջերմադիմացկունություն
(C)-20⁰ C/+50⁰ 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SR-FLLY-100W40K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SR-FLLY-50W40K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