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ԷԱՃԱՊՁԲ-2026/16</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6553248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Тиогуанин 40 мг таб.
Поставка осуществляется поставщиком по адресу: г. Ереван, ул. Титоградяна, 14/10.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Процедура закупки осуществляется в соответствии с Постановлением Правительства Республики Армения № 489-Н от 12 апреля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капсула.
Поставка осуществляется поставщиком по адресу: г. Ереван, ул. Титоградяна, 14/10.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Процедура закупки осуществляется в соответствии с Постановлением Правительства Республики Армения № 489-Н от 12 апреля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Ондасетрон 8 мг раствор для инъекций, порошок для приготовления раствора для инъекций или концентрат для приготовления раствора для инфузий или лиофилизированный порошок для приготовления раствора для инъекций или раствор для инъекций.
Поставка осуществляется поставщиком по адресу: г. Ереван, ул. Титоградяна, 14/10.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Процедура закупки осуществляется в соответствии с Постановлением Правительства Республики Армения № 489-Н от 12 апреля 2018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