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ՀՀ-ԲԾ-ԷԱՃԾՁԲ-26/2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Բնապահպանական ծրագրերի իրականացման գրասենյակ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Ա.Արմենակյան 129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Իռմա Յուզբաշյան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010-65-16-31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yuzbashyan.irma@mail.ru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Բնապահպանական ծրագրերի իրականացման գրասենյակ պետական հիմնարկ</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ՀՀ-ԲԾ-ԷԱՃԾՁԲ-26/2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Բնապահպանական ծրագրերի իրականացման գրասենյակ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Բնապահպանական ծրագրերի իրականացման գրասենյակ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Բնապահպանական ծրագրերի իրականացման գրասենյակ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ՀՀ-ԲԾ-ԷԱՃԾՁԲ-26/2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yuzbashyan.irma@mail.ru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ՀՀ-ԲԾ-ԷԱՃԾՁԲ-26/2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Բնապահպանական ծրագրերի իրականացման գրասենյակ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ՀՀ-ԲԾ-ԷԱՃԾՁԲ-26/2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«ՀՀ-ԲԾ-ԷԱՃԾՁԲ-26/2»*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«ՀՀ-ԲԾ-ԷԱՃԾՁԲ-26/2»*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