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ԿՈՏ-ՀՈԱԿ-ԷԱՃԱՊՁԲ-25/4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  ՄՈԴՈՒԼԱՅԻՆ ՄԱՆԿԱՊԱՐՏԵԶԻ  ԳՈՒՅՔԻ /ՄՍԱՂԱՑԻ/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ԿՈՏ-ՀՈԱԿ-ԷԱՃԱՊՁԲ-25/4</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  ՄՈԴՈՒԼԱՅԻՆ ՄԱՆԿԱՊԱՐՏԵԶԻ  ԳՈՒՅՔԻ /ՄՍԱՂԱՑԻ/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  ՄՈԴՈՒԼԱՅԻՆ ՄԱՆԿԱՊԱՐՏԵԶԻ  ԳՈՒՅՔԻ /ՄՍԱՂԱՑԻ/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  ՄՈԴՈՒԼԱՅԻՆ ՄԱՆԿԱՊԱՐՏԵԶԻ  ԳՈՒՅՔԻ /ՄՍԱՂԱՑԻ/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ԿՈՏ-ՀՈԱԿ-ԷԱՃԱՊՁԲ-25/4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Мясорубка электрическая - Мощность: не менее 1,1 кВт. Производительность (кг/ч): не менее 250 кг/ч. Напряжение: 220 В. Количество скоростей: не менее двух. Мощный и надежный двигатель: с реверсом. Нож: нержавеющая сталь - 2 шт. Решетка (поддон) из нержавеющей стали. Сетки из нержавеющей стали разного диаметра - 3 шт. Мясорубка полностью изготовлена ​​из нержавеющей стали марки AISI 304 толщиной 1,8 - 2,1 мм. Толкатель мяса: резиновые регулируемые ножки. При заключении договора Продавец обязан предоставить гарантийное письмо или сертификат соответствия на товар от производителя или его представителя. Гарантийный срок составляет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Пуракай, 55,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момента подписания договора,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