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ՀՓ-ԷԱՃԾՁԲ-26/13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ՓԲԸ-ի կարիքների համար ծրարի վրա տպագրական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Օրդուխանյան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095984303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ՀՓ-ԷԱՃԾՁԲ-26/13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ՓԲԸ-ի կարիքների համար ծրարի վրա տպագրական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ՓԲԸ-ի կարիքների համար ծրարի վրա տպագրական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ՀՓ-ԷԱՃԾՁԲ-26/13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ՓԲԸ-ի կարիքների համար ծրարի վրա տպագրական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Ծրարի վրա տպագրություն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382.28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4.7553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443.94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2025.11.25. 12:30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ՀՓ-ԷԱՃԾՁԲ-26/13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ՀՓ-ԷԱՃԾՁԲ-26/13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«ՀՓ-ԷԱՃԾՁԲ-26/13»*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ՀՓ-ԷԱՃԾՁԲ-26/13*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«ՀՓ-ԷԱՃԾՁԲ-26/13»*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ՀՓ-ԷԱՃԾՁԲ-26/13*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«ՀԱՅՓՈՍՏ» ՓԲԸ-Ի 2026 ԹՎԱԿԱՆԻ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կատարվելու է համաձայն վճարման ժամանակացույցի:</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Ծրարի վրա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Տպագրություն ծրարի վրա, համարակալված (001-500), ծրարը տրամադրվում է պատվիրատուի կողմից: Ծրարը պատրաստված է 120 գրամանոց թղթից, չափսերը՝ 160,0 x 114,0 մմ; տպագրությունը՝ օֆսեթ (4 գույն) լազերային, երկկողմանի: Տրամադրել տպագրված ծրարի նմուշ՝ նախապես համաձայնեցնելով այն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փ.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(Գնորդի էլեկտրոնային փոստի հասցեից Վաճառողի էլեկտրոնային փոստի հասցեին պատվերը ուղարկելու միջոցով)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