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ԵԱՍՄ-ԷԱՃԱՊՁԲ-25/82 ծածկագրով յուղերի և այլ նմանատիպ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ԵԱՍՄ-ԷԱՃԱՊՁԲ-25/82 ծածկագրով յուղերի և այլ նմանատիպ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ԵԱՍՄ-ԷԱՃԱՊՁԲ-25/82 ծածկագրով յուղերի և այլ նմանատիպ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ԵԱՍՄ-ԷԱՃԱՊՁԲ-25/82 ծածկագրով յուղերի և այլ նմանատիպ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փոխանցման տուփի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արգելակի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հակասառիչ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հիդրավլիկ փոխանցումների համար օգտագործվող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ավտոմեքենաների մաքրող միջոցներ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ԵԱՍՄ-ԷԱՃԱՊՁԲ-25/82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ԵԱՍՄ-ԷԱՃԱՊՁԲ-25/82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15W40 նախատեսված դիզելային շարժիչների համար։ Միջազգային ստանդարտներ՝ API CK-4 և ACEA E9 (Cummins CES 20086), MANN M 3575 , VOLVO VDS -4,5, CATERPILLAR ECF -3  համապատասխան կամ համարժեք, ինչպես նաև նախատեսված EURO-V  արտանետումների պահանջներին համապատասխան: Օգտագործումը՝ նախատեսված տարվա բոլոր եղանակների համար։ Բյուրեղացման ջերմաստիճանը՝ ոչ ցածր --40 C-ից։ Բռնկման ջերմաստիճանը՝ ոչ ցածր 220 C-ից։ Կինեմատիկական մածուցիկությունը՝ 100 C-ում ոչ պակաս 15.0-ից, և 40 C-ում՝ ոչ պակաս 100-ից։ Մածուցիկության ինդեքսը՝ ոչ պակաս 155-ից։ Խտությունը 20 C-ում՝ ոչ պակաս 0,850-ից։ Ալկալային միացությունների քանակը / (mg KOH/g) (միլիգրամ կալիումի հիդրօքսի մեկ գրամ յուղի համար)/՝ ոչ պակաս 9  մգ KOH/գ-ից։ Քիմիական բաղադրությունը՝ հանքային։ Երաշխիքային ժամկետը՝ ոչ պակաս 2 տարի։ Յուղերը պետք է լինեն եվրոմիության անդամ պետությունների կամ Մեծ Բրիտանիայի,Շվեյցարիայի, Ճապոնիայի, ԱՄՆ երկրների արտադրության։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շարժիչի յուղից։  Պահանջներին համապատասխանող արտադրողների շարժիչային յուղերի օրինակներ՝   (համարժեքությունը պետք է հիմնավորի մասնակիցը):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Արտադրության տարեթիվը՝ 2025 թ.-ի 1-ին կիսամյակից ոչ շուտ։ Փաթեթավորումը՝ 200-210 լիտր տարրաներով, կապարակնքված արտադրողի կողմից։ Պարտադիր պայման՝ յուրաքանչուր մատակարարված տարրայի հետ պետք է լինի տարրային համապատասխանող ձեռքի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SAE 10W-40 API CK-4/CJ-4
 ACEA E8/E11, ժամկետը՝ ոչ պակաս 2 տարի։ Յուղերը պետք է լինեն եվրոմիության անդամ պետությունների կամ Մեծ Բրիտանիայի,Շվեյցարիայի, Ճապոնիայի, ԱՄՆ երկրների արտադրության։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շարժիչի յուղից։  Պահանջներին համապատասխանող արտադրողների շարժիչային յուղերի օրինակներ՝   (համարժեքությունը պետք է հիմնավորի մասնակիցը):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Արտադրության տարեթիվը՝ 2025 թ.-ի 1-ին կիսամյակից ոչ շուտ։ Փաթեթավորումը՝ 200-210 լիտր տարրաներով, կապարակնքված արտադրողի կողմից։ Պարտադիր պայման՝ յուրաքանչուր մատակարարված տարրայի հետ պետք է լինի տարրային համապատասխանող ձեռքի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20W50 նախատեսված դիզելային շարժիչների համար։ Միջազգային ստանդարտներ՝ API CI-4 և ACEA E7 (Cummins CES 20078), MANN M 3275-1 , MB 228.3, CATERPILLAR ECF -1/ECF-2  համապատասխան կամ համարժեք, ինչպես նաև նախատեսված EURO-V  արտանետումների պահանջներին համապատասխան: Օգտագործումը՝ նախատեսված տարվա բոլոր եղանակների համար։ Բյուրեղացման ջերմաստիճանը՝ ոչ ցածր --25C-ից։ ։ Բռնկման ջերմաստիճանը՝ ոչ ցածր 220 C-ից։ Կինեմատիկական մածուցիկությունը՝ 100 C-ում ոչ պակաս 18.0-ից, և 40 C-ում՝ ոչ պակաս 150-ից։ Մածուցիկության ինդեքսը՝ ոչ պակաս 225-ից։ Խտությունը 15C-ում՝ ոչ պակաս 0,875-ից։ Ալկալային միացությունների քանակը / (mg KOH/g) (միլիգրամ կալիումի հիդրօքսի մեկ գրամ յուղի համար)/՝ ոչ պակաս 10 մգ KOH/գ-ից։ Քիմիական բաղադրությունը՝ հանքային։ Երաշխիքային ժամկետը՝ ոչ պակաս 2 տարի։ Յուղերը պետք է լինեն եվրոմիության անդամ պետությունների կամ Մեծ Բրիտանիայի,Շվեյցարիայի, Ճապոնիայի, ԱՄՆ երկրների արտադրության։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շարժիչի յուղից։  Պահանջներին համապատասխանող արտադրողների շարժիչային յուղերի օրինակներ՝   (համարժեքությունը պետք է հիմնավորի մասնակիցը):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Արտադրության տարեթիվը՝ 2025 թ.-ի 1-ին կիսամյակից ոչ շուտ ։ Փաթեթավորումը՝ 200-210 լիտր տարրաներով, կապարակնքված արտադրողի կողմից: Պարտադիր պայման՝ յուրաքանչուր մատակարարված տարրայի հետ պետք է լինի տարրային համապատասխանող ձեռքի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փոխանցման տուփի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Փոխանցման տուփի յուղ 80w-90։ Միջազգային ստանդարտներ՝ API GL-5 MAN 342M-2 (160,000 KM DRAIN), ZF TE-ML 05A, 12E, 16B, 17B, 19B, 21A ։ Բյուրեղացման ջերմաստիճանը՝ ոչ ցածր --25 C-ից։ Բռնկման ջերմաստիճանը՝ ոչ ցածր 210 C-ից։ Կինեմատիկական մածուցիկությունը՝ 100 C-ում ոչ պակաս 14 -ից, և 40 C-ում՝ ոչ պակաս 130-ից։ Մածուցիկության ինդեքսը՝ ոչ պակաս 100-ից։ Խտությունը 15 C-ում՝ ոչ պակաս 0,880-ից։ Երաշխիքային ժամկետը՝ ոչ պակաս 2 տարի։ Յուղերը պետք է լինեն եվրոմիության անդամ պետությունների կամ Մեծ Բրիտանիայի,Շվեյցարիայի, Ճապոնիայի, ԱՄՆ երկրների արտադրության։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յուղից։  Պահանջներին համապատասխանող արտադրողների յուղերի օրինակներ՝   (համարժեքությունը պետք է հիմնավորի մասնակիցը):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Արտադրության տարեթիվը՝ 2025 թ.-ի 1-ին կիսամյակից ոչ շուտ: Փաթեթավորումը՝ 200-210 լիտր տարրաներով, կապարակնքված արտադրողի կողմից։ Պարտադիր պայման՝ յուրաքանչուր մատակարարված տարրայի հետ պետք է լինի տայրային համապատասխանող ձեռքի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արգելակի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հեղուկ DOT-4
SAE J1703/J1704
ISO 4925   FMVSS 116 DOT 4
JIS JAPAN K2233
Փաթեթավորումը՝  0.5կգ տարրաներով, գործարանային հերմետիկ փակված: Պիտակին նշվում է արտադրողի կողմից արտադրման ժամկետը, ստանդարտներին և թույլտվություններին համապատասխանության վերաբերյալ տեղեկատվություն: Մատակարարման ժամանակ ներկայացվում է ապրանքի համապատասխանության /ծագման և որակի/ սերտիֆիկատ: Արտադրության տարեթիվը՝ 2025 թ.-ի 1-ին կիսամյակից ոչ շուտ: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հակասառիչ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Միջազգային G-11 ստանդարտի համապատասխան խտանյութ մոնոէթիլենգլիկոլի հիմքով: 50% կոնցենտրատ 50% ջուր հարաբերակցությամբ՝ բյուրեղացման ջերմաստիճանը ոչ պակաս- 38C, եռման ջերմաստիճանը ոչ պակաս 109C: 20C դեպքում խտությունը 1065-1085գր/սմ3 սերտիֆիկատների առկայությունը պարտադիր է: Միջազգային ստանդարտներ՝ BS 6580, FW HEFT R 443, AFNOR R 15/601, SAE G 1034, GAS K 2234, KSM 2142,  CUNA NC 956-16, UNE 26361 – 88, MPA, ASTM D 3306, 4985, NATO S 759 E/L 1415 C: 5-6կգ. տարրաներով՝ գործարանային փաթեթավորմամբ: Գույնը՝ կապույտ կամ կանաչ: Ապրանքի տեղափոխումն ու բեռնաթափումն իրականացնում է վաճառողը: Արտադրության տարեթիվը՝ 2025 թ.-ի 1-ին կիսամյակից ոչ շուտ: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հիդրավլիկ փոխանցումների համար օգտագործվող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մոչևինա AdBlue
խտությունը /200С/  կգ/մ3  1087.0-1093.0
Ալկայնությունը % ոչ ավել 0,2
Կարբոմիդի զանգվածային բաժինը % 31,8-33,2
Մատակարարումը 20լ. Տարաներով
Արտադրության տարեթիվը՝ 2025 թ.-ի 1-ին կիսամյակից ոչ շուտ: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ավտոմեքենաների մաքրող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անհպում լվացման մաքրման հեղուկը (ունիվերսալ միջոց, խտանյութ) նախատեսված է հատուկ նշանակության մեքենաների (աղբատար, բեռնատար, ինքնաթափ, աղցան և այլն), դրանց թափքի, ընթացքային դետալների, անիվների և մաքրման համար։
        Խտացված լվացող միջոցը ներկարարական ծածկույթներին հաղորդում է փայլ  և ստեղծում միջավայր՝ հետագա աղտոտվածությունների դյուրին լվացման համար։ Նախատեսված  բոլոր տեսակի բարձր ճնշման սարքավորումներով աշխատող պորտալ, ռոբոտ և ինքնասպասարկվող լվացման սարքերի համար։
        Հեշտությամբ հեռացնում է կեղտը, խիստ յուղային, ճարպային և միներալ աղտոտվածությունները։ Չի թողնում բծեր, հետքեր և չի վնասում լվացվող մակերեսները։ Պարունակում է կենսաբանորեն քայքայվող մակերևութային ակտիվ նյութեր։ Չի պարունակում նատրիումի նիտրիլտրիացետրատ,  սիլիկոն և նպաստում է պոմպերի և բարձր ճնշման սարքերի արդյունավետ աշխատանքին։ Արդյունավետ է նաև ջրի ջեռուցմամբ բարձր ճնշման սարքավորումներով օգտագործելու համար։ Ապահովվում է յուղոտ մակերեսների մաքրումը։ Անվտանգ է շրջակա միջավայրի և մարդկանց համար։ Անվտանգ է տրանսպորտային միջոցի ներկածածկույթի համար, չի վնասում լաքածածկույթը և մակերեսը։ Այն ունի բարձր փրփրակալելու հատկություն։ Ջրի պարունակությունը 63-65%, pH մակարդակը 13.5-14, մածուցիկությունը`  20-50 mPa·s։ Պահպանման պայմանները` 0 °C-ից մինչև  + 30 °C։ Բարձր ճնշման դոզացիոն համակարգերով հեղուկի պարունակությունը ապարատով աշխատում է  40-60 %, իսկ խտանյութը (пенокомплект)  նոսրացվում է 1:8 – 1:10, փրփուրի բալոնում (пеногенератор) 1։100 – 1։120  համամասնությամբ։ Պետք է լինի գործարանային արտադրանք և տվյալ խբաքանակը արտադրողի կողմից անցի լաբորատոր փորձաքննություն։ Մատակարարման ժամանակ մատակարարը ներկայացնում է` լաբորատաոր փորձաքնության եզրակացություն և առաջարկվող ապրանքի արտադրողի (MAF-Manufacturer's Authorization Form) կամ նրա կողմից Հայաստանի Հանրապետությունում լիազորված կազմակերպության (դիստրիբյուտորի) անունից (DAF-Distributer's Authorization Form) նամակ-լիազորագիր, ինչպես նաև համապատասխանության սերտիֆիկատ կամ հայտարարագիր։ Փաթեթավորումը՝ 20-30կգ պոլիէթիլային կամ պոլիմերային գործարանային տարրաներով՝  պիտակավորված: Տարան պիտակավորված է: Պիտակին նշվում է տեսակի անվանումը, տեխնիկական պայմանի համարը, պահպանման ժամկետի, արտադրող կազմակերպության, արտադրման ժամկետի վերաբերյալ տեղեկատվություն: Արտադրության տարեթիվը՝ 2025 թ.-ի 1-ին կիսամյակից ոչ շուտ: Պահպանման երաշխիքային ժամկետը թողարկման օրվանից առնվազն 36 ամիս: Ապրանքի տեխնիկական պայմանների ակնհայտ անհամապատասխանության առկայության դեպքում, պատվիրատուի ներկայացուցչի կողմից պատահական ընտրությամբ ընդհանուր խմբաքանակից կվերցվի ապրանքանմուշ իր միջոցների հաշվին պետք է ենթարկի ՀՀ պետական փորձաքննության և Պատվիրատուին ներկայացնի փորձագիտական եզրակացություն՝ առաջարկվող ապրանքը վերոհիշյալ տեխնիկական բնութագրին  համապատասխանության վերաբերյալ: Սույն կետով նշված ՀՀ պետական փորձաքննություն չիրականացնելը, կամ առաջարկվող ապրանքը վերոհիշյալ տեխնիկական բնութագրին համապատասխանության վերաբերյալ եզրակացությունը Պատվիրատուին չտրամադրելը, կամ եթե տրամադրված եզրակացությամբ արձանագրվել է անհամապատասխանություն վերոհիշյալ տեխնիկական բնութագրին, ապա  Պատվիրատուն իրավունք ունի հրաժարվել ապրանքից: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21 օրացուցային օրվա ընթացքում 1-ին եռամսյակում առնվազն 2500 լիտր, 2-րդ եռամսյակում 2500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21 օրացուցային օրվա ընթացքում 1-ին եռամսյակում առնվազն 3000 լիտր, 2-րդ եռամսյակում 3000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21 օրացուցային օրվա ընթացքում 1-ին եռամսյակում առնվազն 1500 լիտր, 2-րդ եռամսյակում 1500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21 օրացուցային օրվա ընթացքում 1-ին եռամսյակում առնվազն 3000 լիտր, 2-րդ եռամսյակում 3000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21 օրացուցային օրվա ընթացքում 1-ին եռամսյակում առնվազն 250 կգ, 2-րդ եռամսյակում 250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21 օրացուցային օրվա ընթացքում 1000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21 օրացուցային օրվա ընթացքում 1-ին եռամսյակում առնվազն 4000 լիտր, 2-րդ եռամսյակում 4000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21 օրացուցային օրվա ընթացքում 1-ին եռամսյակում առնվազն 1000 լիտր, 2-րդ եռամսյակում 1000 լիտր: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