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приборы и принадлежности 2026/1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приборы и принадлежности 2026/1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приборы и принадлежности 2026/1</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приборы и принадлежности 2026/1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Размеры: 7мх14см.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7мх14см.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белая, медицинского назначения. Объем ваты, содержащейся в одной коробке, составляет 100 г. Условия хранения обеспечиваются.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каннабис, предназначенный для медицинских целей.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20G.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22G.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24G.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Шпажка деревянная, нестерильная.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2,5смx5м.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стерильное, одноразовое. Размер: M.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стерильный, одноразовый. В комплект должен входить (например: подгузник, ложка Фолькмана, стерильные перчатки, зеркало Куско, цитологическая щётка и другие принадлежности. Комплектация по желанию заказчика).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N 16G.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N18.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и назогастрального типа. Диаметр: 12Fr.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Лок. Игла 23G.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Игла 21G. Имеет гибкую, тонкую прозрачную трубку, длиной не менее 29 см и не более 31 см. С возможностью подсоединения к вакуумной пробирке.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Предназначен для проведения холтеровского мониторирования.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Электрокоагулятор монополярный, одноразового использования.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тампон для носа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тампон для носа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5,5,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6,0,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размером 6,5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ECG. Размеры: 295ммx210мм.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7,5.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N6.0.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н/д инфузионная, для введения жидкостей,
с пластиковой иглой для ввода, одноразовая,
без ответвлений, длина трубки 140-150см, прозрачная, с воздушной прослойкой,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 трехкомпонентный. Шприц изготовлен из прозрачного, нетоксичного материала.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взятия крови, стерильная, размер 21G.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Добавка: K3EDTA. Объём: 3 мл. Материал пробирки: ПЭТ или стекло (материал пробирки по желанию заказчика). Цвет крышки: фиолетовый.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GelandClot, объём: 5 мл. Материал пробирки: ПЭТ или стекло (материал пробирки по желанию заказчика). Цвет крышки: жёлтый.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с завинчивающейся крышкой. Объём: 2,7 мл. Материал пробирки: ПЭТ или стекло. Цвет крышки: синий. Срок годности: 2/3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дезинфекции сухим горячим воздухом в лабораторных условиях, температурный режим 180С, сертификат качества 1х250тест 180 11140-1, сроки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Размеры: 3,5мх20см.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анализатора стеклянная 5мл. Тонкостенный, (стат.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3-0.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4-0.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5-0.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2,0.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4,0.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5,0. Длина нити не менее 75см. Тип иглы: 1/4. Тип иглы: прокалывающая. Толщина иглы: 0,5.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8,0.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N20.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N11.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кетгут. Толщина нити: 2,0. Длина нити не менее 75 см. Тип иглы: 1/4. Тип иглы: прокалывающая. Толщина иглы: 0,5.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