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ԵՐԵՎԱՆԻ ՀԻՄՆԱԿԱՆ ԳՏՃՄ ԴՊՐՈՑԻ 2025 ԹՎԱԿԱՆԻ ԿԱՐԻՔՆԵՐԻ ՀԱՄԱՐ ՀԱՊՀ-ԷԱԱՊՁԲ-25/40 ԾԱԾԿԱԳՐՈՎ ՏՆՏԵՍԱԿԱՆ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ԵՐԵՎԱՆԻ ՀԻՄՆԱԿԱՆ ԳՏՃՄ ԴՊՐՈՑԻ 2025 ԹՎԱԿԱՆԻ ԿԱՐԻՔՆԵՐԻ ՀԱՄԱՐ ՀԱՊՀ-ԷԱԱՊՁԲ-25/40 ԾԱԾԿԱԳՐՈՎ ՏՆՏԵՍԱԿԱՆ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ԵՐԵՎԱՆԻ ՀԻՄՆԱԿԱՆ ԳՏՃՄ ԴՊՐՈՑԻ 2025 ԹՎԱԿԱՆԻ ԿԱՐԻՔՆԵՐԻ ՀԱՄԱՐ ՀԱՊՀ-ԷԱԱՊՁԲ-25/40 ԾԱԾԿԱԳՐՈՎ ՏՆՏԵՍԱԿԱՆ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ԵՐԵՎԱՆԻ ՀԻՄՆԱԿԱՆ ԳՏՃՄ ԴՊՐՈՑԻ 2025 ԹՎԱԿԱՆԻ ԿԱՐԻՔՆԵՐԻ ՀԱՄԱՐ ՀԱՊՀ-ԷԱԱՊՁԲ-25/40 ԾԱԾԿԱԳՐՈՎ ՏՆՏԵՍԱԿԱՆ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ԵՐԵՎԱՆԻ ՀԻՄՆԱԿԱՆ ԳՏՃՄ ԴՊՐՈՑԻ 2025 ԹՎԱԿԱՆԻ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