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109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гидрохлоротиазида 10 мг+25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от 15°C до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таблетки, покрытые пленочной оболочкой, 20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пропранолола (гидрохлорида пропранолола) 40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бесилат) таблетки 5 мг; .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мг+15,2 мг. Новые, неиспользованные, в заводской упаковке. Срок годности лекарственного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фуросемида 40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внутривенного и внутримышечного введения 10 мг/мл ампулы по 2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таблетки 40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п/э и в/м введения 20 мг/мл ампулы по 2 мл.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от 15°C до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панкреатина (липаза, амилаза, протеаза) в рассоле не менее 10000 АЕ + не менее 7500 АЕ + не менее 375 АЕ.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30°C.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хлорамфеникола 500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Сенны 500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кетопрофена 50 мг в стеклянной таре.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для лекарственных средств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(метамизола натрия) для внутривенного и внутримышечного введения, ампулы 500 мг/мл. Новый, неиспользованный,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(гидрохлорида дифенгидрамина) для м/м и п/э инъекций 10 мг/мл по 1 мл в ампулах.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для лекарственных средств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раствор для инъекций н/д 24 мг/м 5 мл ампулы.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м/м и п/э инъекций 4 мг/мл ампулы по 1 мл: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Теотард 200 мг капсулы: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растворимые 600 мг в пластиковой таре: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для приготовления суспензии для приема внутрь 3 г.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обязательно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(эссенциальные)-ЭФЛ, раствор для инъекций 50 мг/мл, ампулы по 5 мл.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для лекарственных средств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не выше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фенобарбитала 100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бетагистина (бетагистина дигидрохлорида) 24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таблетки, покрытые пленочной оболочкой, 10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триацетоамина 4-толуолсульфонат таблетки, покрытые пленочной оболочкой, 500 мг+20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дисульфирама 150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в недоступном для детей месте, при температуре не выше 15-25°C.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повидон-йода для наружного применения 100 мг/мл; пластиковый флакон-капельница 100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15-25°C.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глюкозы (глюкозы моногидрат) для капельного введения 250 мл, пластиковая упаковка.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Особых условий хранения не требуется.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натрия хлорида, калия хлорида, кальция хлорида (дигидрата хлорида кальция) 8,6 мг/мл + 0,3 мг/мл + 0,33 мг/мл; пластиковая упаковка объемом 500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Хранить при температуре не выше 30°C. :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натрия хлорида, калия хлорида, кальция хлорида (дигидрата хлорида кальция) 8,6 мг/мл + 0,3 мг/мл + 0,33 мг/мл; пластиковая упаковка 250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Хранить при температуре не выше 30°C. :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Лекарственный препарат включен в Государственный реестр лекарственных средств, зарегистрированных в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