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ԲԺՇԿԱԿԱՆ ՆՇԱՆԱԿՈՒԹՅԱՆ ԱՊՐԱՆՔՆԵՐԻ ՁԵՌՔԲԵՐՈՒՄ 26/07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ԲԺՇԿԱԿԱՆ ՆՇԱՆԱԿՈՒԹՅԱՆ ԱՊՐԱՆՔՆԵՐԻ ՁԵՌՔԲԵՐՈՒՄ 26/07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ԲԺՇԿԱԿԱՆ ՆՇԱՆԱԿՈՒԹՅԱՆ ԱՊՐԱՆՔՆԵՐԻ ՁԵՌՔԲԵՐՈՒՄ 26/07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ԲԺՇԿԱԿԱՆ ՆՇԱՆԱԿՈՒԹՅԱՆ ԱՊՐԱՆՔՆԵՐԻ ՁԵՌՔԲԵՐՈՒՄ 26/07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